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9D897">
      <w:pPr>
        <w:ind w:left="0" w:leftChars="0" w:firstLine="0" w:firstLineChars="0"/>
        <w:rPr>
          <w:rFonts w:ascii="仿宋_GB2312" w:hAnsi="仿宋_GB2312" w:eastAsia="仿宋_GB2312" w:cs="仿宋_GB2312"/>
          <w:color w:val="auto"/>
          <w:sz w:val="36"/>
          <w:szCs w:val="36"/>
        </w:rPr>
      </w:pPr>
      <w:r>
        <w:rPr>
          <w:rFonts w:hint="eastAsia" w:ascii="宋体" w:hAnsi="宋体" w:eastAsia="宋体"/>
          <w:b/>
          <w:bCs/>
          <w:color w:val="auto"/>
          <w:sz w:val="36"/>
          <w:szCs w:val="36"/>
          <w:lang w:eastAsia="zh-CN"/>
        </w:rPr>
        <w:drawing>
          <wp:anchor distT="0" distB="0" distL="114300" distR="114300" simplePos="0" relativeHeight="251683840" behindDoc="0" locked="0" layoutInCell="1" allowOverlap="1">
            <wp:simplePos x="0" y="0"/>
            <wp:positionH relativeFrom="column">
              <wp:posOffset>2284095</wp:posOffset>
            </wp:positionH>
            <wp:positionV relativeFrom="paragraph">
              <wp:posOffset>-6817995</wp:posOffset>
            </wp:positionV>
            <wp:extent cx="1303020" cy="440055"/>
            <wp:effectExtent l="0" t="0" r="11430" b="17145"/>
            <wp:wrapNone/>
            <wp:docPr id="48" name="图片 48" descr="296ed526-b124-499e-99fc-bd019c081c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296ed526-b124-499e-99fc-bd019c081c9e"/>
                    <pic:cNvPicPr>
                      <a:picLocks noChangeAspect="1"/>
                    </pic:cNvPicPr>
                  </pic:nvPicPr>
                  <pic:blipFill>
                    <a:blip r:embed="rId11"/>
                    <a:stretch>
                      <a:fillRect/>
                    </a:stretch>
                  </pic:blipFill>
                  <pic:spPr>
                    <a:xfrm>
                      <a:off x="0" y="0"/>
                      <a:ext cx="1303020" cy="440055"/>
                    </a:xfrm>
                    <a:prstGeom prst="rect">
                      <a:avLst/>
                    </a:prstGeom>
                  </pic:spPr>
                </pic:pic>
              </a:graphicData>
            </a:graphic>
          </wp:anchor>
        </w:drawing>
      </w:r>
      <w:r>
        <w:rPr>
          <w:rFonts w:ascii="仿宋_GB2312" w:hAnsi="仿宋_GB2312" w:eastAsia="仿宋_GB2312" w:cs="仿宋_GB2312"/>
          <w:color w:val="auto"/>
          <w:sz w:val="36"/>
          <w:szCs w:val="36"/>
        </w:rPr>
        <w:drawing>
          <wp:anchor distT="0" distB="0" distL="114300" distR="114300" simplePos="0" relativeHeight="251682816" behindDoc="0" locked="0" layoutInCell="1" allowOverlap="1">
            <wp:simplePos x="0" y="0"/>
            <wp:positionH relativeFrom="column">
              <wp:posOffset>-991870</wp:posOffset>
            </wp:positionH>
            <wp:positionV relativeFrom="paragraph">
              <wp:posOffset>-1080135</wp:posOffset>
            </wp:positionV>
            <wp:extent cx="7560310" cy="10692130"/>
            <wp:effectExtent l="0" t="0" r="2540" b="13970"/>
            <wp:wrapTopAndBottom/>
            <wp:docPr id="36" name="图片 1"/>
            <wp:cNvGraphicFramePr/>
            <a:graphic xmlns:a="http://schemas.openxmlformats.org/drawingml/2006/main">
              <a:graphicData uri="http://schemas.openxmlformats.org/drawingml/2006/picture">
                <pic:pic xmlns:pic="http://schemas.openxmlformats.org/drawingml/2006/picture">
                  <pic:nvPicPr>
                    <pic:cNvPr id="36" name="图片 1"/>
                    <pic:cNvPicPr/>
                  </pic:nvPicPr>
                  <pic:blipFill>
                    <a:blip r:embed="rId12"/>
                    <a:stretch>
                      <a:fillRect/>
                    </a:stretch>
                  </pic:blipFill>
                  <pic:spPr>
                    <a:xfrm>
                      <a:off x="0" y="0"/>
                      <a:ext cx="7560310" cy="10692130"/>
                    </a:xfrm>
                    <a:prstGeom prst="rect">
                      <a:avLst/>
                    </a:prstGeom>
                    <a:noFill/>
                    <a:ln>
                      <a:noFill/>
                    </a:ln>
                  </pic:spPr>
                </pic:pic>
              </a:graphicData>
            </a:graphic>
          </wp:anchor>
        </w:drawing>
      </w:r>
    </w:p>
    <w:p w14:paraId="5C242B6D">
      <w:pPr>
        <w:rPr>
          <w:rFonts w:ascii="宋体" w:hAnsi="宋体"/>
          <w:b/>
          <w:bCs/>
          <w:color w:val="auto"/>
          <w:sz w:val="36"/>
          <w:szCs w:val="36"/>
        </w:rPr>
      </w:pPr>
      <w:r>
        <w:rPr>
          <w:color w:val="auto"/>
          <w:sz w:val="36"/>
        </w:rPr>
        <mc:AlternateContent>
          <mc:Choice Requires="wps">
            <w:drawing>
              <wp:anchor distT="0" distB="0" distL="114300" distR="114300" simplePos="0" relativeHeight="251684864" behindDoc="0" locked="0" layoutInCell="1" allowOverlap="1">
                <wp:simplePos x="0" y="0"/>
                <wp:positionH relativeFrom="column">
                  <wp:posOffset>2362835</wp:posOffset>
                </wp:positionH>
                <wp:positionV relativeFrom="paragraph">
                  <wp:posOffset>4206875</wp:posOffset>
                </wp:positionV>
                <wp:extent cx="2179320" cy="169545"/>
                <wp:effectExtent l="12700" t="12700" r="17780" b="27305"/>
                <wp:wrapNone/>
                <wp:docPr id="56" name="矩形 56"/>
                <wp:cNvGraphicFramePr/>
                <a:graphic xmlns:a="http://schemas.openxmlformats.org/drawingml/2006/main">
                  <a:graphicData uri="http://schemas.microsoft.com/office/word/2010/wordprocessingShape">
                    <wps:wsp>
                      <wps:cNvSpPr/>
                      <wps:spPr>
                        <a:xfrm>
                          <a:off x="3335020" y="5287010"/>
                          <a:ext cx="2179320" cy="169545"/>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6.05pt;margin-top:331.25pt;height:13.35pt;width:171.6pt;z-index:251684864;v-text-anchor:middle;mso-width-relative:page;mso-height-relative:page;" fillcolor="#4F81BD [3204]" filled="t" stroked="t" coordsize="21600,21600" o:gfxdata="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cx3WH2wAAAAsBAAAPAAAA&#10;AAAAAAEAIAAAACIAAABkcnMvZG93bnJldi54bWxQSwECFAAUAAAACACHTuJAnAPJtIQCAAANBQAA&#10;DgAAAAAAAAABACAAAAAqAQAAZHJzL2Uyb0RvYy54bWxQSwUGAAAAAAYABgBZAQAAIAYAAAAA&#10;">
                <v:fill on="t" focussize="0,0"/>
                <v:stroke weight="2pt" color="#376092 [2404]" joinstyle="round"/>
                <v:imagedata o:title=""/>
                <o:lock v:ext="edit" aspectratio="f"/>
              </v:rect>
            </w:pict>
          </mc:Fallback>
        </mc:AlternateContent>
      </w:r>
      <w:r>
        <w:rPr>
          <w:rFonts w:ascii="宋体" w:hAnsi="宋体"/>
          <w:b/>
          <w:bCs/>
          <w:color w:val="auto"/>
          <w:sz w:val="36"/>
          <w:szCs w:val="36"/>
        </w:rPr>
        <w:drawing>
          <wp:anchor distT="0" distB="0" distL="114300" distR="114300" simplePos="0" relativeHeight="251676672" behindDoc="0" locked="0" layoutInCell="1" allowOverlap="1">
            <wp:simplePos x="0" y="0"/>
            <wp:positionH relativeFrom="column">
              <wp:posOffset>-977265</wp:posOffset>
            </wp:positionH>
            <wp:positionV relativeFrom="paragraph">
              <wp:posOffset>-1091565</wp:posOffset>
            </wp:positionV>
            <wp:extent cx="7560310" cy="10692130"/>
            <wp:effectExtent l="0" t="0" r="2540" b="13970"/>
            <wp:wrapTopAndBottom/>
            <wp:docPr id="13" name="图片 13" descr="资质（盖章版）"/>
            <wp:cNvGraphicFramePr/>
            <a:graphic xmlns:a="http://schemas.openxmlformats.org/drawingml/2006/main">
              <a:graphicData uri="http://schemas.openxmlformats.org/drawingml/2006/picture">
                <pic:pic xmlns:pic="http://schemas.openxmlformats.org/drawingml/2006/picture">
                  <pic:nvPicPr>
                    <pic:cNvPr id="13" name="图片 13" descr="资质（盖章版）"/>
                    <pic:cNvPicPr/>
                  </pic:nvPicPr>
                  <pic:blipFill>
                    <a:blip r:embed="rId13"/>
                    <a:stretch>
                      <a:fillRect/>
                    </a:stretch>
                  </pic:blipFill>
                  <pic:spPr>
                    <a:xfrm>
                      <a:off x="0" y="0"/>
                      <a:ext cx="7560310" cy="10692130"/>
                    </a:xfrm>
                    <a:prstGeom prst="rect">
                      <a:avLst/>
                    </a:prstGeom>
                  </pic:spPr>
                </pic:pic>
              </a:graphicData>
            </a:graphic>
          </wp:anchor>
        </w:drawing>
      </w:r>
      <w:r>
        <w:rPr>
          <w:rFonts w:ascii="宋体" w:hAnsi="宋体"/>
          <w:b/>
          <w:bCs/>
          <w:color w:val="auto"/>
          <w:sz w:val="36"/>
          <w:szCs w:val="36"/>
        </w:rPr>
        <w:br w:type="page"/>
      </w:r>
    </w:p>
    <w:p w14:paraId="3D1751D3">
      <w:pPr>
        <w:rPr>
          <w:rFonts w:ascii="宋体" w:hAnsi="宋体"/>
          <w:b/>
          <w:bCs/>
          <w:color w:val="auto"/>
          <w:sz w:val="36"/>
          <w:szCs w:val="36"/>
        </w:rPr>
      </w:pPr>
      <w:r>
        <w:rPr>
          <w:color w:val="auto"/>
          <w:sz w:val="24"/>
        </w:rPr>
        <mc:AlternateContent>
          <mc:Choice Requires="wps">
            <w:drawing>
              <wp:anchor distT="0" distB="0" distL="114300" distR="114300" simplePos="0" relativeHeight="251685888" behindDoc="0" locked="0" layoutInCell="1" allowOverlap="1">
                <wp:simplePos x="0" y="0"/>
                <wp:positionH relativeFrom="column">
                  <wp:posOffset>1084580</wp:posOffset>
                </wp:positionH>
                <wp:positionV relativeFrom="paragraph">
                  <wp:posOffset>5746115</wp:posOffset>
                </wp:positionV>
                <wp:extent cx="1500505" cy="196215"/>
                <wp:effectExtent l="12700" t="12700" r="29845" b="19685"/>
                <wp:wrapNone/>
                <wp:docPr id="59" name="矩形 59"/>
                <wp:cNvGraphicFramePr/>
                <a:graphic xmlns:a="http://schemas.openxmlformats.org/drawingml/2006/main">
                  <a:graphicData uri="http://schemas.microsoft.com/office/word/2010/wordprocessingShape">
                    <wps:wsp>
                      <wps:cNvSpPr/>
                      <wps:spPr>
                        <a:xfrm>
                          <a:off x="2056765" y="6826250"/>
                          <a:ext cx="1500505" cy="196215"/>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5.4pt;margin-top:452.45pt;height:15.45pt;width:118.15pt;z-index:251685888;v-text-anchor:middle;mso-width-relative:page;mso-height-relative:page;" fillcolor="#4F81BD [3204]" filled="t" stroked="t" coordsize="21600,21600" o:gfxdata="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rU3S02QAAAAsBAAAPAAAA&#10;AAAAAAEAIAAAACIAAABkcnMvZG93bnJldi54bWxQSwECFAAUAAAACACHTuJAIPpMYoYCAAANBQAA&#10;DgAAAAAAAAABACAAAAAoAQAAZHJzL2Uyb0RvYy54bWxQSwUGAAAAAAYABgBZAQAAIAYAAAAA&#10;">
                <v:fill on="t" focussize="0,0"/>
                <v:stroke weight="2pt" color="#376092 [2404]" joinstyle="round"/>
                <v:imagedata o:title=""/>
                <o:lock v:ext="edit" aspectratio="f"/>
              </v:rect>
            </w:pict>
          </mc:Fallback>
        </mc:AlternateContent>
      </w:r>
      <w:r>
        <w:rPr>
          <w:color w:val="auto"/>
        </w:rPr>
        <w:drawing>
          <wp:anchor distT="0" distB="0" distL="114300" distR="114300" simplePos="0" relativeHeight="251681792" behindDoc="0" locked="0" layoutInCell="1" allowOverlap="1">
            <wp:simplePos x="0" y="0"/>
            <wp:positionH relativeFrom="column">
              <wp:posOffset>4439285</wp:posOffset>
            </wp:positionH>
            <wp:positionV relativeFrom="paragraph">
              <wp:posOffset>6897370</wp:posOffset>
            </wp:positionV>
            <wp:extent cx="438150" cy="438150"/>
            <wp:effectExtent l="0" t="0" r="0" b="0"/>
            <wp:wrapNone/>
            <wp:docPr id="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
                    <pic:cNvPicPr>
                      <a:picLocks noChangeAspect="1"/>
                    </pic:cNvPicPr>
                  </pic:nvPicPr>
                  <pic:blipFill>
                    <a:blip r:embed="rId14"/>
                    <a:stretch>
                      <a:fillRect/>
                    </a:stretch>
                  </pic:blipFill>
                  <pic:spPr>
                    <a:xfrm>
                      <a:off x="0" y="0"/>
                      <a:ext cx="438150" cy="438150"/>
                    </a:xfrm>
                    <a:prstGeom prst="rect">
                      <a:avLst/>
                    </a:prstGeom>
                    <a:noFill/>
                    <a:ln>
                      <a:noFill/>
                    </a:ln>
                  </pic:spPr>
                </pic:pic>
              </a:graphicData>
            </a:graphic>
          </wp:anchor>
        </w:drawing>
      </w:r>
      <w:r>
        <w:rPr>
          <w:color w:val="auto"/>
        </w:rPr>
        <w:drawing>
          <wp:anchor distT="0" distB="0" distL="114300" distR="114300" simplePos="0" relativeHeight="251680768" behindDoc="0" locked="0" layoutInCell="1" allowOverlap="1">
            <wp:simplePos x="0" y="0"/>
            <wp:positionH relativeFrom="column">
              <wp:posOffset>4392930</wp:posOffset>
            </wp:positionH>
            <wp:positionV relativeFrom="paragraph">
              <wp:posOffset>5680075</wp:posOffset>
            </wp:positionV>
            <wp:extent cx="347980" cy="347980"/>
            <wp:effectExtent l="0" t="0" r="13970" b="13970"/>
            <wp:wrapNone/>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pic:cNvPicPr>
                      <a:picLocks noChangeAspect="1"/>
                    </pic:cNvPicPr>
                  </pic:nvPicPr>
                  <pic:blipFill>
                    <a:blip r:embed="rId14"/>
                    <a:stretch>
                      <a:fillRect/>
                    </a:stretch>
                  </pic:blipFill>
                  <pic:spPr>
                    <a:xfrm>
                      <a:off x="0" y="0"/>
                      <a:ext cx="347980" cy="347980"/>
                    </a:xfrm>
                    <a:prstGeom prst="rect">
                      <a:avLst/>
                    </a:prstGeom>
                    <a:noFill/>
                    <a:ln>
                      <a:noFill/>
                    </a:ln>
                  </pic:spPr>
                </pic:pic>
              </a:graphicData>
            </a:graphic>
          </wp:anchor>
        </w:drawing>
      </w:r>
      <w:r>
        <w:rPr>
          <w:rFonts w:ascii="仿宋_GB2312" w:hAnsi="仿宋_GB2312" w:eastAsia="仿宋_GB2312" w:cs="仿宋_GB2312"/>
          <w:color w:val="auto"/>
          <w:sz w:val="36"/>
          <w:szCs w:val="36"/>
        </w:rPr>
        <w:drawing>
          <wp:anchor distT="0" distB="0" distL="114300" distR="114300" simplePos="0" relativeHeight="251679744" behindDoc="0" locked="0" layoutInCell="1" allowOverlap="1">
            <wp:simplePos x="0" y="0"/>
            <wp:positionH relativeFrom="column">
              <wp:posOffset>1804035</wp:posOffset>
            </wp:positionH>
            <wp:positionV relativeFrom="paragraph">
              <wp:posOffset>3742690</wp:posOffset>
            </wp:positionV>
            <wp:extent cx="1220470" cy="1261110"/>
            <wp:effectExtent l="0" t="0" r="17780" b="15240"/>
            <wp:wrapNone/>
            <wp:docPr id="34" name="图片 34" descr="抠章 (1)_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抠章 (1)_看图"/>
                    <pic:cNvPicPr>
                      <a:picLocks noChangeAspect="1"/>
                    </pic:cNvPicPr>
                  </pic:nvPicPr>
                  <pic:blipFill>
                    <a:blip r:embed="rId15"/>
                    <a:srcRect l="18139" t="19265" r="13026" b="11925"/>
                    <a:stretch>
                      <a:fillRect/>
                    </a:stretch>
                  </pic:blipFill>
                  <pic:spPr>
                    <a:xfrm>
                      <a:off x="0" y="0"/>
                      <a:ext cx="1220470" cy="1261110"/>
                    </a:xfrm>
                    <a:prstGeom prst="rect">
                      <a:avLst/>
                    </a:prstGeom>
                  </pic:spPr>
                </pic:pic>
              </a:graphicData>
            </a:graphic>
          </wp:anchor>
        </w:drawing>
      </w:r>
      <w:r>
        <w:rPr>
          <w:color w:val="auto"/>
        </w:rPr>
        <w:drawing>
          <wp:anchor distT="0" distB="0" distL="114300" distR="114300" simplePos="0" relativeHeight="251680768" behindDoc="1" locked="0" layoutInCell="1" allowOverlap="1">
            <wp:simplePos x="0" y="0"/>
            <wp:positionH relativeFrom="column">
              <wp:posOffset>-684530</wp:posOffset>
            </wp:positionH>
            <wp:positionV relativeFrom="paragraph">
              <wp:posOffset>-709295</wp:posOffset>
            </wp:positionV>
            <wp:extent cx="6450965" cy="9163050"/>
            <wp:effectExtent l="0" t="0" r="6985" b="0"/>
            <wp:wrapNone/>
            <wp:docPr id="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pic:cNvPicPr>
                      <a:picLocks noChangeAspect="1"/>
                    </pic:cNvPicPr>
                  </pic:nvPicPr>
                  <pic:blipFill>
                    <a:blip r:embed="rId16"/>
                    <a:stretch>
                      <a:fillRect/>
                    </a:stretch>
                  </pic:blipFill>
                  <pic:spPr>
                    <a:xfrm>
                      <a:off x="0" y="0"/>
                      <a:ext cx="6450965" cy="9163050"/>
                    </a:xfrm>
                    <a:prstGeom prst="rect">
                      <a:avLst/>
                    </a:prstGeom>
                    <a:noFill/>
                    <a:ln>
                      <a:noFill/>
                    </a:ln>
                  </pic:spPr>
                </pic:pic>
              </a:graphicData>
            </a:graphic>
          </wp:anchor>
        </w:drawing>
      </w:r>
      <w:r>
        <w:rPr>
          <w:rFonts w:ascii="宋体" w:hAnsi="宋体"/>
          <w:b/>
          <w:bCs/>
          <w:color w:val="auto"/>
          <w:sz w:val="36"/>
          <w:szCs w:val="36"/>
        </w:rPr>
        <w:br w:type="page"/>
      </w:r>
    </w:p>
    <w:p w14:paraId="0AA6197E">
      <w:pPr>
        <w:rPr>
          <w:rFonts w:hint="eastAsia" w:ascii="宋体" w:hAnsi="宋体" w:eastAsia="宋体"/>
          <w:b/>
          <w:bCs/>
          <w:color w:val="auto"/>
          <w:sz w:val="36"/>
          <w:szCs w:val="36"/>
          <w:lang w:eastAsia="zh-CN"/>
        </w:rPr>
      </w:pPr>
      <w:r>
        <w:rPr>
          <w:color w:val="auto"/>
          <w:sz w:val="36"/>
        </w:rPr>
        <mc:AlternateContent>
          <mc:Choice Requires="wps">
            <w:drawing>
              <wp:anchor distT="0" distB="0" distL="114300" distR="114300" simplePos="0" relativeHeight="251686912" behindDoc="0" locked="0" layoutInCell="1" allowOverlap="1">
                <wp:simplePos x="0" y="0"/>
                <wp:positionH relativeFrom="column">
                  <wp:posOffset>1919605</wp:posOffset>
                </wp:positionH>
                <wp:positionV relativeFrom="paragraph">
                  <wp:posOffset>3736975</wp:posOffset>
                </wp:positionV>
                <wp:extent cx="1461135" cy="743585"/>
                <wp:effectExtent l="12700" t="12700" r="31115" b="24765"/>
                <wp:wrapNone/>
                <wp:docPr id="60" name="矩形 60"/>
                <wp:cNvGraphicFramePr/>
                <a:graphic xmlns:a="http://schemas.openxmlformats.org/drawingml/2006/main">
                  <a:graphicData uri="http://schemas.microsoft.com/office/word/2010/wordprocessingShape">
                    <wps:wsp>
                      <wps:cNvSpPr/>
                      <wps:spPr>
                        <a:xfrm>
                          <a:off x="2891790" y="4817110"/>
                          <a:ext cx="1461135" cy="743585"/>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1.15pt;margin-top:294.25pt;height:58.55pt;width:115.05pt;z-index:251686912;v-text-anchor:middle;mso-width-relative:page;mso-height-relative:page;" fillcolor="#4F81BD [3204]" filled="t" stroked="t" coordsize="21600,21600" o:gfxdata="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OoZN2vbAAAACwEAAA8A&#10;AAAAAAAAAQAgAAAAIgAAAGRycy9kb3ducmV2LnhtbFBLAQIUABQAAAAIAIdO4kDtqc8xhgIAAA0F&#10;AAAOAAAAAAAAAAEAIAAAACoBAABkcnMvZTJvRG9jLnhtbFBLBQYAAAAABgAGAFkBAAAiBgAAAAA=&#10;">
                <v:fill on="t" focussize="0,0"/>
                <v:stroke weight="2pt" color="#376092 [2404]" joinstyle="round"/>
                <v:imagedata o:title=""/>
                <o:lock v:ext="edit" aspectratio="f"/>
              </v:rect>
            </w:pict>
          </mc:Fallback>
        </mc:AlternateContent>
      </w:r>
      <w:r>
        <w:rPr>
          <w:rFonts w:hint="eastAsia" w:ascii="宋体" w:hAnsi="宋体" w:eastAsia="宋体"/>
          <w:b/>
          <w:bCs/>
          <w:color w:val="auto"/>
          <w:sz w:val="36"/>
          <w:szCs w:val="36"/>
          <w:lang w:eastAsia="zh-CN"/>
        </w:rPr>
        <w:drawing>
          <wp:inline distT="0" distB="0" distL="114300" distR="114300">
            <wp:extent cx="5095875" cy="7143750"/>
            <wp:effectExtent l="0" t="0" r="9525" b="0"/>
            <wp:docPr id="29" name="图片 29" descr="最新社保缴纳情况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最新社保缴纳情况表"/>
                    <pic:cNvPicPr>
                      <a:picLocks noChangeAspect="1"/>
                    </pic:cNvPicPr>
                  </pic:nvPicPr>
                  <pic:blipFill>
                    <a:blip r:embed="rId17"/>
                    <a:stretch>
                      <a:fillRect/>
                    </a:stretch>
                  </pic:blipFill>
                  <pic:spPr>
                    <a:xfrm>
                      <a:off x="0" y="0"/>
                      <a:ext cx="5095875" cy="7143750"/>
                    </a:xfrm>
                    <a:prstGeom prst="rect">
                      <a:avLst/>
                    </a:prstGeom>
                  </pic:spPr>
                </pic:pic>
              </a:graphicData>
            </a:graphic>
          </wp:inline>
        </w:drawing>
      </w:r>
      <w:r>
        <w:rPr>
          <w:color w:val="auto"/>
          <w:sz w:val="36"/>
        </w:rPr>
        <mc:AlternateContent>
          <mc:Choice Requires="wps">
            <w:drawing>
              <wp:anchor distT="0" distB="0" distL="114300" distR="114300" simplePos="0" relativeHeight="251687936" behindDoc="0" locked="0" layoutInCell="1" allowOverlap="1">
                <wp:simplePos x="0" y="0"/>
                <wp:positionH relativeFrom="column">
                  <wp:posOffset>3655695</wp:posOffset>
                </wp:positionH>
                <wp:positionV relativeFrom="paragraph">
                  <wp:posOffset>1922780</wp:posOffset>
                </wp:positionV>
                <wp:extent cx="1083310" cy="1017905"/>
                <wp:effectExtent l="12700" t="12700" r="27940" b="17145"/>
                <wp:wrapNone/>
                <wp:docPr id="71" name="矩形 71"/>
                <wp:cNvGraphicFramePr/>
                <a:graphic xmlns:a="http://schemas.openxmlformats.org/drawingml/2006/main">
                  <a:graphicData uri="http://schemas.microsoft.com/office/word/2010/wordprocessingShape">
                    <wps:wsp>
                      <wps:cNvSpPr/>
                      <wps:spPr>
                        <a:xfrm>
                          <a:off x="4653280" y="3002915"/>
                          <a:ext cx="1083310" cy="1017905"/>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7.85pt;margin-top:151.4pt;height:80.15pt;width:85.3pt;z-index:251687936;v-text-anchor:middle;mso-width-relative:page;mso-height-relative:page;" fillcolor="#4F81BD [3204]" filled="t" stroked="t" coordsize="21600,21600" o:gfxdata="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A3pS1c2gAAAAsBAAAP&#10;AAAAAAAAAAEAIAAAACIAAABkcnMvZG93bnJldi54bWxQSwECFAAUAAAACACHTuJAghF6BIgCAAAO&#10;BQAADgAAAAAAAAABACAAAAApAQAAZHJzL2Uyb0RvYy54bWxQSwUGAAAAAAYABgBZAQAAIwYAAAAA&#10;">
                <v:fill on="t" focussize="0,0"/>
                <v:stroke weight="2pt" color="#376092 [2404]" joinstyle="round"/>
                <v:imagedata o:title=""/>
                <o:lock v:ext="edit" aspectratio="f"/>
              </v:rect>
            </w:pict>
          </mc:Fallback>
        </mc:AlternateContent>
      </w:r>
      <w:r>
        <w:rPr>
          <w:rFonts w:hint="eastAsia" w:ascii="宋体" w:hAnsi="宋体" w:eastAsia="宋体"/>
          <w:b/>
          <w:bCs/>
          <w:color w:val="auto"/>
          <w:sz w:val="36"/>
          <w:szCs w:val="36"/>
          <w:lang w:eastAsia="zh-CN"/>
        </w:rPr>
        <w:drawing>
          <wp:inline distT="0" distB="0" distL="114300" distR="114300">
            <wp:extent cx="3985260" cy="5634990"/>
            <wp:effectExtent l="0" t="0" r="3810" b="15240"/>
            <wp:docPr id="27" name="图片 27" descr="注册环评工程师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注册环评工程师证_01"/>
                    <pic:cNvPicPr>
                      <a:picLocks noChangeAspect="1"/>
                    </pic:cNvPicPr>
                  </pic:nvPicPr>
                  <pic:blipFill>
                    <a:blip r:embed="rId18"/>
                    <a:stretch>
                      <a:fillRect/>
                    </a:stretch>
                  </pic:blipFill>
                  <pic:spPr>
                    <a:xfrm rot="16200000">
                      <a:off x="0" y="0"/>
                      <a:ext cx="3985260" cy="5634990"/>
                    </a:xfrm>
                    <a:prstGeom prst="rect">
                      <a:avLst/>
                    </a:prstGeom>
                  </pic:spPr>
                </pic:pic>
              </a:graphicData>
            </a:graphic>
          </wp:inline>
        </w:drawing>
      </w:r>
      <w:r>
        <w:rPr>
          <w:rFonts w:hint="eastAsia" w:ascii="宋体" w:hAnsi="宋体" w:eastAsia="宋体"/>
          <w:b/>
          <w:bCs/>
          <w:color w:val="auto"/>
          <w:sz w:val="36"/>
          <w:szCs w:val="36"/>
          <w:lang w:eastAsia="zh-CN"/>
        </w:rPr>
        <w:drawing>
          <wp:inline distT="0" distB="0" distL="114300" distR="114300">
            <wp:extent cx="5591175" cy="7903210"/>
            <wp:effectExtent l="0" t="0" r="9525" b="2540"/>
            <wp:docPr id="23" name="图片 23" descr="环奕营业执照20251210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环奕营业执照20251210_01"/>
                    <pic:cNvPicPr>
                      <a:picLocks noChangeAspect="1"/>
                    </pic:cNvPicPr>
                  </pic:nvPicPr>
                  <pic:blipFill>
                    <a:blip r:embed="rId19"/>
                    <a:stretch>
                      <a:fillRect/>
                    </a:stretch>
                  </pic:blipFill>
                  <pic:spPr>
                    <a:xfrm>
                      <a:off x="0" y="0"/>
                      <a:ext cx="5591175" cy="7903210"/>
                    </a:xfrm>
                    <a:prstGeom prst="rect">
                      <a:avLst/>
                    </a:prstGeom>
                  </pic:spPr>
                </pic:pic>
              </a:graphicData>
            </a:graphic>
          </wp:inline>
        </w:drawing>
      </w:r>
    </w:p>
    <w:p w14:paraId="6F4FFD12">
      <w:pPr>
        <w:ind w:left="0" w:leftChars="0" w:firstLine="0" w:firstLineChars="0"/>
        <w:rPr>
          <w:rFonts w:ascii="宋体" w:hAnsi="宋体"/>
          <w:b/>
          <w:bCs/>
          <w:color w:val="auto"/>
          <w:sz w:val="36"/>
          <w:szCs w:val="36"/>
        </w:rPr>
      </w:pPr>
      <w:r>
        <w:rPr>
          <w:rFonts w:ascii="宋体" w:hAnsi="宋体"/>
          <w:b/>
          <w:bCs/>
          <w:color w:val="auto"/>
          <w:sz w:val="36"/>
          <w:szCs w:val="36"/>
        </w:rPr>
        <w:br w:type="page"/>
      </w:r>
    </w:p>
    <w:p w14:paraId="3DFC6FA1">
      <w:pPr>
        <w:spacing w:line="240" w:lineRule="auto"/>
        <w:ind w:firstLine="0" w:firstLineChars="0"/>
        <w:jc w:val="center"/>
        <w:rPr>
          <w:b/>
          <w:bCs/>
          <w:color w:val="auto"/>
          <w:sz w:val="36"/>
          <w:szCs w:val="36"/>
        </w:rPr>
      </w:pPr>
      <w:r>
        <w:rPr>
          <w:rFonts w:ascii="宋体" w:hAnsi="宋体"/>
          <w:b/>
          <w:bCs/>
          <w:color w:val="auto"/>
          <w:sz w:val="36"/>
          <w:szCs w:val="36"/>
        </w:rPr>
        <w:t>目</w:t>
      </w:r>
      <w:r>
        <w:rPr>
          <w:rFonts w:hint="eastAsia" w:ascii="宋体" w:hAnsi="宋体"/>
          <w:b/>
          <w:bCs/>
          <w:color w:val="auto"/>
          <w:sz w:val="36"/>
          <w:szCs w:val="36"/>
        </w:rPr>
        <w:t xml:space="preserve">  </w:t>
      </w:r>
      <w:r>
        <w:rPr>
          <w:rFonts w:ascii="宋体" w:hAnsi="宋体"/>
          <w:b/>
          <w:bCs/>
          <w:color w:val="auto"/>
          <w:sz w:val="36"/>
          <w:szCs w:val="36"/>
        </w:rPr>
        <w:t>录</w:t>
      </w:r>
    </w:p>
    <w:p w14:paraId="2E5A84E1">
      <w:pPr>
        <w:pStyle w:val="12"/>
        <w:tabs>
          <w:tab w:val="right" w:leader="dot" w:pos="8844"/>
        </w:tabs>
        <w:rPr>
          <w:color w:val="auto"/>
        </w:rPr>
      </w:pPr>
      <w:r>
        <w:rPr>
          <w:rFonts w:hint="eastAsia" w:ascii="黑体" w:hAnsi="黑体" w:eastAsia="黑体"/>
          <w:snapToGrid w:val="0"/>
          <w:color w:val="auto"/>
          <w:sz w:val="30"/>
          <w:szCs w:val="30"/>
        </w:rPr>
        <w:fldChar w:fldCharType="begin"/>
      </w:r>
      <w:r>
        <w:rPr>
          <w:rFonts w:hint="eastAsia" w:ascii="黑体" w:hAnsi="黑体" w:eastAsia="黑体"/>
          <w:snapToGrid w:val="0"/>
          <w:color w:val="auto"/>
          <w:sz w:val="30"/>
          <w:szCs w:val="30"/>
        </w:rPr>
        <w:instrText xml:space="preserve">TOC \o "1-2" \h \u </w:instrText>
      </w:r>
      <w:r>
        <w:rPr>
          <w:rFonts w:hint="eastAsia" w:ascii="黑体" w:hAnsi="黑体" w:eastAsia="黑体"/>
          <w:snapToGrid w:val="0"/>
          <w:color w:val="auto"/>
          <w:sz w:val="30"/>
          <w:szCs w:val="30"/>
        </w:rPr>
        <w:fldChar w:fldCharType="separate"/>
      </w: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_Toc3817 </w:instrText>
      </w:r>
      <w:r>
        <w:rPr>
          <w:rFonts w:hint="eastAsia" w:ascii="黑体" w:hAnsi="黑体" w:eastAsia="黑体"/>
          <w:snapToGrid w:val="0"/>
          <w:color w:val="auto"/>
          <w:szCs w:val="30"/>
        </w:rPr>
        <w:fldChar w:fldCharType="separate"/>
      </w:r>
      <w:r>
        <w:rPr>
          <w:rFonts w:hint="eastAsia" w:ascii="黑体" w:hAnsi="黑体" w:eastAsia="黑体"/>
          <w:snapToGrid w:val="0"/>
          <w:color w:val="auto"/>
          <w:szCs w:val="30"/>
        </w:rPr>
        <w:t>一、建设项目基本情况</w:t>
      </w:r>
      <w:r>
        <w:rPr>
          <w:color w:val="auto"/>
        </w:rPr>
        <w:tab/>
      </w:r>
      <w:r>
        <w:rPr>
          <w:color w:val="auto"/>
        </w:rPr>
        <w:fldChar w:fldCharType="begin"/>
      </w:r>
      <w:r>
        <w:rPr>
          <w:color w:val="auto"/>
        </w:rPr>
        <w:instrText xml:space="preserve"> PAGEREF _Toc3817 \h </w:instrText>
      </w:r>
      <w:r>
        <w:rPr>
          <w:color w:val="auto"/>
        </w:rPr>
        <w:fldChar w:fldCharType="separate"/>
      </w:r>
      <w:r>
        <w:rPr>
          <w:color w:val="auto"/>
        </w:rPr>
        <w:t>1</w:t>
      </w:r>
      <w:r>
        <w:rPr>
          <w:color w:val="auto"/>
        </w:rPr>
        <w:fldChar w:fldCharType="end"/>
      </w:r>
      <w:r>
        <w:rPr>
          <w:rFonts w:hint="eastAsia" w:ascii="黑体" w:hAnsi="黑体" w:eastAsia="黑体"/>
          <w:snapToGrid w:val="0"/>
          <w:color w:val="auto"/>
          <w:szCs w:val="30"/>
        </w:rPr>
        <w:fldChar w:fldCharType="end"/>
      </w:r>
    </w:p>
    <w:p w14:paraId="6123CBCE">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_Toc1039 </w:instrText>
      </w:r>
      <w:r>
        <w:rPr>
          <w:rFonts w:hint="eastAsia" w:ascii="黑体" w:hAnsi="黑体" w:eastAsia="黑体"/>
          <w:snapToGrid w:val="0"/>
          <w:color w:val="auto"/>
          <w:szCs w:val="30"/>
        </w:rPr>
        <w:fldChar w:fldCharType="separate"/>
      </w:r>
      <w:r>
        <w:rPr>
          <w:rFonts w:hint="eastAsia" w:ascii="黑体" w:hAnsi="黑体" w:eastAsia="黑体"/>
          <w:snapToGrid w:val="0"/>
          <w:color w:val="auto"/>
          <w:szCs w:val="30"/>
        </w:rPr>
        <w:t>二、建设项目工程分析</w:t>
      </w:r>
      <w:r>
        <w:rPr>
          <w:color w:val="auto"/>
        </w:rPr>
        <w:tab/>
      </w:r>
      <w:r>
        <w:rPr>
          <w:color w:val="auto"/>
        </w:rPr>
        <w:fldChar w:fldCharType="begin"/>
      </w:r>
      <w:r>
        <w:rPr>
          <w:color w:val="auto"/>
        </w:rPr>
        <w:instrText xml:space="preserve"> PAGEREF _Toc1039 \h </w:instrText>
      </w:r>
      <w:r>
        <w:rPr>
          <w:color w:val="auto"/>
        </w:rPr>
        <w:fldChar w:fldCharType="separate"/>
      </w:r>
      <w:r>
        <w:rPr>
          <w:color w:val="auto"/>
        </w:rPr>
        <w:t>15</w:t>
      </w:r>
      <w:r>
        <w:rPr>
          <w:color w:val="auto"/>
        </w:rPr>
        <w:fldChar w:fldCharType="end"/>
      </w:r>
      <w:r>
        <w:rPr>
          <w:rFonts w:hint="eastAsia" w:ascii="黑体" w:hAnsi="黑体" w:eastAsia="黑体"/>
          <w:snapToGrid w:val="0"/>
          <w:color w:val="auto"/>
          <w:szCs w:val="30"/>
        </w:rPr>
        <w:fldChar w:fldCharType="end"/>
      </w:r>
    </w:p>
    <w:p w14:paraId="07AFA982">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_Toc16311 </w:instrText>
      </w:r>
      <w:r>
        <w:rPr>
          <w:rFonts w:hint="eastAsia" w:ascii="黑体" w:hAnsi="黑体" w:eastAsia="黑体"/>
          <w:snapToGrid w:val="0"/>
          <w:color w:val="auto"/>
          <w:szCs w:val="30"/>
        </w:rPr>
        <w:fldChar w:fldCharType="separate"/>
      </w:r>
      <w:r>
        <w:rPr>
          <w:rFonts w:hint="eastAsia" w:ascii="黑体" w:hAnsi="黑体" w:eastAsia="黑体"/>
          <w:snapToGrid w:val="0"/>
          <w:color w:val="auto"/>
          <w:szCs w:val="30"/>
        </w:rPr>
        <w:t>三、区域环境质量现状、环境保护目标及评价标准</w:t>
      </w:r>
      <w:r>
        <w:rPr>
          <w:color w:val="auto"/>
        </w:rPr>
        <w:tab/>
      </w:r>
      <w:r>
        <w:rPr>
          <w:color w:val="auto"/>
        </w:rPr>
        <w:fldChar w:fldCharType="begin"/>
      </w:r>
      <w:r>
        <w:rPr>
          <w:color w:val="auto"/>
        </w:rPr>
        <w:instrText xml:space="preserve"> PAGEREF _Toc16311 \h </w:instrText>
      </w:r>
      <w:r>
        <w:rPr>
          <w:color w:val="auto"/>
        </w:rPr>
        <w:fldChar w:fldCharType="separate"/>
      </w:r>
      <w:r>
        <w:rPr>
          <w:color w:val="auto"/>
        </w:rPr>
        <w:t>32</w:t>
      </w:r>
      <w:r>
        <w:rPr>
          <w:color w:val="auto"/>
        </w:rPr>
        <w:fldChar w:fldCharType="end"/>
      </w:r>
      <w:r>
        <w:rPr>
          <w:rFonts w:hint="eastAsia" w:ascii="黑体" w:hAnsi="黑体" w:eastAsia="黑体"/>
          <w:snapToGrid w:val="0"/>
          <w:color w:val="auto"/>
          <w:szCs w:val="30"/>
        </w:rPr>
        <w:fldChar w:fldCharType="end"/>
      </w:r>
    </w:p>
    <w:p w14:paraId="4EA73A83">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_Toc10404 </w:instrText>
      </w:r>
      <w:r>
        <w:rPr>
          <w:rFonts w:hint="eastAsia" w:ascii="黑体" w:hAnsi="黑体" w:eastAsia="黑体"/>
          <w:snapToGrid w:val="0"/>
          <w:color w:val="auto"/>
          <w:szCs w:val="30"/>
        </w:rPr>
        <w:fldChar w:fldCharType="separate"/>
      </w:r>
      <w:r>
        <w:rPr>
          <w:rFonts w:hint="eastAsia" w:ascii="黑体" w:hAnsi="黑体" w:eastAsia="黑体"/>
          <w:snapToGrid w:val="0"/>
          <w:color w:val="auto"/>
          <w:szCs w:val="30"/>
        </w:rPr>
        <w:t>四、主要环境影响和保护措施</w:t>
      </w:r>
      <w:r>
        <w:rPr>
          <w:color w:val="auto"/>
        </w:rPr>
        <w:tab/>
      </w:r>
      <w:r>
        <w:rPr>
          <w:color w:val="auto"/>
        </w:rPr>
        <w:fldChar w:fldCharType="begin"/>
      </w:r>
      <w:r>
        <w:rPr>
          <w:color w:val="auto"/>
        </w:rPr>
        <w:instrText xml:space="preserve"> PAGEREF _Toc10404 \h </w:instrText>
      </w:r>
      <w:r>
        <w:rPr>
          <w:color w:val="auto"/>
        </w:rPr>
        <w:fldChar w:fldCharType="separate"/>
      </w:r>
      <w:r>
        <w:rPr>
          <w:color w:val="auto"/>
        </w:rPr>
        <w:t>40</w:t>
      </w:r>
      <w:r>
        <w:rPr>
          <w:color w:val="auto"/>
        </w:rPr>
        <w:fldChar w:fldCharType="end"/>
      </w:r>
      <w:r>
        <w:rPr>
          <w:rFonts w:hint="eastAsia" w:ascii="黑体" w:hAnsi="黑体" w:eastAsia="黑体"/>
          <w:snapToGrid w:val="0"/>
          <w:color w:val="auto"/>
          <w:szCs w:val="30"/>
        </w:rPr>
        <w:fldChar w:fldCharType="end"/>
      </w:r>
    </w:p>
    <w:p w14:paraId="180AAC75">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_Toc4771 </w:instrText>
      </w:r>
      <w:r>
        <w:rPr>
          <w:rFonts w:hint="eastAsia" w:ascii="黑体" w:hAnsi="黑体" w:eastAsia="黑体"/>
          <w:snapToGrid w:val="0"/>
          <w:color w:val="auto"/>
          <w:szCs w:val="30"/>
        </w:rPr>
        <w:fldChar w:fldCharType="separate"/>
      </w:r>
      <w:r>
        <w:rPr>
          <w:rFonts w:hint="eastAsia" w:ascii="黑体" w:hAnsi="黑体" w:eastAsia="黑体"/>
          <w:snapToGrid w:val="0"/>
          <w:color w:val="auto"/>
          <w:szCs w:val="30"/>
        </w:rPr>
        <w:t>五、环境保护措施监督检查清单</w:t>
      </w:r>
      <w:r>
        <w:rPr>
          <w:color w:val="auto"/>
        </w:rPr>
        <w:tab/>
      </w:r>
      <w:r>
        <w:rPr>
          <w:color w:val="auto"/>
        </w:rPr>
        <w:fldChar w:fldCharType="begin"/>
      </w:r>
      <w:r>
        <w:rPr>
          <w:color w:val="auto"/>
        </w:rPr>
        <w:instrText xml:space="preserve"> PAGEREF _Toc4771 \h </w:instrText>
      </w:r>
      <w:r>
        <w:rPr>
          <w:color w:val="auto"/>
        </w:rPr>
        <w:fldChar w:fldCharType="separate"/>
      </w:r>
      <w:r>
        <w:rPr>
          <w:color w:val="auto"/>
        </w:rPr>
        <w:t>66</w:t>
      </w:r>
      <w:r>
        <w:rPr>
          <w:color w:val="auto"/>
        </w:rPr>
        <w:fldChar w:fldCharType="end"/>
      </w:r>
      <w:r>
        <w:rPr>
          <w:rFonts w:hint="eastAsia" w:ascii="黑体" w:hAnsi="黑体" w:eastAsia="黑体"/>
          <w:snapToGrid w:val="0"/>
          <w:color w:val="auto"/>
          <w:szCs w:val="30"/>
        </w:rPr>
        <w:fldChar w:fldCharType="end"/>
      </w:r>
    </w:p>
    <w:p w14:paraId="191654C1">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_Toc15619 </w:instrText>
      </w:r>
      <w:r>
        <w:rPr>
          <w:rFonts w:hint="eastAsia" w:ascii="黑体" w:hAnsi="黑体" w:eastAsia="黑体"/>
          <w:snapToGrid w:val="0"/>
          <w:color w:val="auto"/>
          <w:szCs w:val="30"/>
        </w:rPr>
        <w:fldChar w:fldCharType="separate"/>
      </w:r>
      <w:r>
        <w:rPr>
          <w:rFonts w:hint="eastAsia" w:ascii="黑体" w:hAnsi="黑体" w:eastAsia="黑体"/>
          <w:snapToGrid w:val="0"/>
          <w:color w:val="auto"/>
          <w:szCs w:val="30"/>
        </w:rPr>
        <w:t>六、结论</w:t>
      </w:r>
      <w:r>
        <w:rPr>
          <w:color w:val="auto"/>
        </w:rPr>
        <w:tab/>
      </w:r>
      <w:r>
        <w:rPr>
          <w:color w:val="auto"/>
        </w:rPr>
        <w:fldChar w:fldCharType="begin"/>
      </w:r>
      <w:r>
        <w:rPr>
          <w:color w:val="auto"/>
        </w:rPr>
        <w:instrText xml:space="preserve"> PAGEREF _Toc15619 \h </w:instrText>
      </w:r>
      <w:r>
        <w:rPr>
          <w:color w:val="auto"/>
        </w:rPr>
        <w:fldChar w:fldCharType="separate"/>
      </w:r>
      <w:r>
        <w:rPr>
          <w:color w:val="auto"/>
        </w:rPr>
        <w:t>69</w:t>
      </w:r>
      <w:r>
        <w:rPr>
          <w:color w:val="auto"/>
        </w:rPr>
        <w:fldChar w:fldCharType="end"/>
      </w:r>
      <w:r>
        <w:rPr>
          <w:rFonts w:hint="eastAsia" w:ascii="黑体" w:hAnsi="黑体" w:eastAsia="黑体"/>
          <w:snapToGrid w:val="0"/>
          <w:color w:val="auto"/>
          <w:szCs w:val="30"/>
        </w:rPr>
        <w:fldChar w:fldCharType="end"/>
      </w:r>
    </w:p>
    <w:p w14:paraId="4E348264">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_Toc16570 </w:instrText>
      </w:r>
      <w:r>
        <w:rPr>
          <w:rFonts w:hint="eastAsia" w:ascii="黑体" w:hAnsi="黑体" w:eastAsia="黑体"/>
          <w:snapToGrid w:val="0"/>
          <w:color w:val="auto"/>
          <w:szCs w:val="30"/>
        </w:rPr>
        <w:fldChar w:fldCharType="separate"/>
      </w:r>
      <w:r>
        <w:rPr>
          <w:rFonts w:hint="eastAsia" w:cs="宋体"/>
          <w:snapToGrid w:val="0"/>
          <w:color w:val="auto"/>
          <w:szCs w:val="32"/>
        </w:rPr>
        <w:t>附表</w:t>
      </w:r>
      <w:r>
        <w:rPr>
          <w:color w:val="auto"/>
        </w:rPr>
        <w:tab/>
      </w:r>
      <w:r>
        <w:rPr>
          <w:color w:val="auto"/>
        </w:rPr>
        <w:fldChar w:fldCharType="begin"/>
      </w:r>
      <w:r>
        <w:rPr>
          <w:color w:val="auto"/>
        </w:rPr>
        <w:instrText xml:space="preserve"> PAGEREF _Toc16570 \h </w:instrText>
      </w:r>
      <w:r>
        <w:rPr>
          <w:color w:val="auto"/>
        </w:rPr>
        <w:fldChar w:fldCharType="separate"/>
      </w:r>
      <w:r>
        <w:rPr>
          <w:color w:val="auto"/>
        </w:rPr>
        <w:t>70</w:t>
      </w:r>
      <w:r>
        <w:rPr>
          <w:color w:val="auto"/>
        </w:rPr>
        <w:fldChar w:fldCharType="end"/>
      </w:r>
      <w:r>
        <w:rPr>
          <w:rFonts w:hint="eastAsia" w:ascii="黑体" w:hAnsi="黑体" w:eastAsia="黑体"/>
          <w:snapToGrid w:val="0"/>
          <w:color w:val="auto"/>
          <w:szCs w:val="30"/>
        </w:rPr>
        <w:fldChar w:fldCharType="end"/>
      </w:r>
    </w:p>
    <w:p w14:paraId="63C38BD8">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_Toc14659 </w:instrText>
      </w:r>
      <w:r>
        <w:rPr>
          <w:rFonts w:hint="eastAsia" w:ascii="黑体" w:hAnsi="黑体" w:eastAsia="黑体"/>
          <w:snapToGrid w:val="0"/>
          <w:color w:val="auto"/>
          <w:szCs w:val="30"/>
        </w:rPr>
        <w:fldChar w:fldCharType="separate"/>
      </w:r>
      <w:r>
        <w:rPr>
          <w:rFonts w:hint="eastAsia" w:cs="宋体"/>
          <w:snapToGrid w:val="0"/>
          <w:color w:val="auto"/>
          <w:szCs w:val="38"/>
        </w:rPr>
        <w:t>建设项目污染物排放量汇总表</w:t>
      </w:r>
      <w:r>
        <w:rPr>
          <w:color w:val="auto"/>
        </w:rPr>
        <w:tab/>
      </w:r>
      <w:r>
        <w:rPr>
          <w:color w:val="auto"/>
        </w:rPr>
        <w:fldChar w:fldCharType="begin"/>
      </w:r>
      <w:r>
        <w:rPr>
          <w:color w:val="auto"/>
        </w:rPr>
        <w:instrText xml:space="preserve"> PAGEREF _Toc14659 \h </w:instrText>
      </w:r>
      <w:r>
        <w:rPr>
          <w:color w:val="auto"/>
        </w:rPr>
        <w:fldChar w:fldCharType="separate"/>
      </w:r>
      <w:r>
        <w:rPr>
          <w:color w:val="auto"/>
        </w:rPr>
        <w:t>70</w:t>
      </w:r>
      <w:r>
        <w:rPr>
          <w:color w:val="auto"/>
        </w:rPr>
        <w:fldChar w:fldCharType="end"/>
      </w:r>
      <w:r>
        <w:rPr>
          <w:rFonts w:hint="eastAsia" w:ascii="黑体" w:hAnsi="黑体" w:eastAsia="黑体"/>
          <w:snapToGrid w:val="0"/>
          <w:color w:val="auto"/>
          <w:szCs w:val="30"/>
        </w:rPr>
        <w:fldChar w:fldCharType="end"/>
      </w:r>
    </w:p>
    <w:p w14:paraId="30011B3C">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_Toc24583 </w:instrText>
      </w:r>
      <w:r>
        <w:rPr>
          <w:rFonts w:hint="eastAsia" w:ascii="黑体" w:hAnsi="黑体" w:eastAsia="黑体"/>
          <w:snapToGrid w:val="0"/>
          <w:color w:val="auto"/>
          <w:szCs w:val="30"/>
        </w:rPr>
        <w:fldChar w:fldCharType="separate"/>
      </w:r>
      <w:r>
        <w:rPr>
          <w:rFonts w:hint="eastAsia"/>
          <w:color w:val="auto"/>
          <w:lang w:val="en-US" w:eastAsia="zh-CN"/>
        </w:rPr>
        <w:t>附图</w:t>
      </w:r>
      <w:r>
        <w:rPr>
          <w:color w:val="auto"/>
        </w:rPr>
        <w:tab/>
      </w:r>
      <w:r>
        <w:rPr>
          <w:color w:val="auto"/>
        </w:rPr>
        <w:fldChar w:fldCharType="begin"/>
      </w:r>
      <w:r>
        <w:rPr>
          <w:color w:val="auto"/>
        </w:rPr>
        <w:instrText xml:space="preserve"> PAGEREF _Toc24583 \h </w:instrText>
      </w:r>
      <w:r>
        <w:rPr>
          <w:color w:val="auto"/>
        </w:rPr>
        <w:fldChar w:fldCharType="separate"/>
      </w:r>
      <w:r>
        <w:rPr>
          <w:color w:val="auto"/>
        </w:rPr>
        <w:t>72</w:t>
      </w:r>
      <w:r>
        <w:rPr>
          <w:color w:val="auto"/>
        </w:rPr>
        <w:fldChar w:fldCharType="end"/>
      </w:r>
      <w:r>
        <w:rPr>
          <w:rFonts w:hint="eastAsia" w:ascii="黑体" w:hAnsi="黑体" w:eastAsia="黑体"/>
          <w:snapToGrid w:val="0"/>
          <w:color w:val="auto"/>
          <w:szCs w:val="30"/>
        </w:rPr>
        <w:fldChar w:fldCharType="end"/>
      </w:r>
    </w:p>
    <w:p w14:paraId="5D661021">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_Toc10317 </w:instrText>
      </w:r>
      <w:r>
        <w:rPr>
          <w:rFonts w:hint="eastAsia" w:ascii="黑体" w:hAnsi="黑体" w:eastAsia="黑体"/>
          <w:snapToGrid w:val="0"/>
          <w:color w:val="auto"/>
          <w:szCs w:val="30"/>
        </w:rPr>
        <w:fldChar w:fldCharType="separate"/>
      </w:r>
      <w:r>
        <w:rPr>
          <w:rFonts w:hint="eastAsia"/>
          <w:color w:val="auto"/>
        </w:rPr>
        <w:t>附图1 项目地理位置图</w:t>
      </w:r>
      <w:r>
        <w:rPr>
          <w:color w:val="auto"/>
        </w:rPr>
        <w:tab/>
      </w:r>
      <w:r>
        <w:rPr>
          <w:color w:val="auto"/>
        </w:rPr>
        <w:fldChar w:fldCharType="begin"/>
      </w:r>
      <w:r>
        <w:rPr>
          <w:color w:val="auto"/>
        </w:rPr>
        <w:instrText xml:space="preserve"> PAGEREF _Toc10317 \h </w:instrText>
      </w:r>
      <w:r>
        <w:rPr>
          <w:color w:val="auto"/>
        </w:rPr>
        <w:fldChar w:fldCharType="separate"/>
      </w:r>
      <w:r>
        <w:rPr>
          <w:color w:val="auto"/>
        </w:rPr>
        <w:t>72</w:t>
      </w:r>
      <w:r>
        <w:rPr>
          <w:color w:val="auto"/>
        </w:rPr>
        <w:fldChar w:fldCharType="end"/>
      </w:r>
      <w:r>
        <w:rPr>
          <w:rFonts w:hint="eastAsia" w:ascii="黑体" w:hAnsi="黑体" w:eastAsia="黑体"/>
          <w:snapToGrid w:val="0"/>
          <w:color w:val="auto"/>
          <w:szCs w:val="30"/>
        </w:rPr>
        <w:fldChar w:fldCharType="end"/>
      </w:r>
    </w:p>
    <w:p w14:paraId="66AA1A0D">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_Toc4280 </w:instrText>
      </w:r>
      <w:r>
        <w:rPr>
          <w:rFonts w:hint="eastAsia" w:ascii="黑体" w:hAnsi="黑体" w:eastAsia="黑体"/>
          <w:snapToGrid w:val="0"/>
          <w:color w:val="auto"/>
          <w:szCs w:val="30"/>
        </w:rPr>
        <w:fldChar w:fldCharType="separate"/>
      </w:r>
      <w:r>
        <w:rPr>
          <w:rFonts w:hint="eastAsia"/>
          <w:color w:val="auto"/>
        </w:rPr>
        <w:t>附图2 厂区平面布置图</w:t>
      </w:r>
      <w:r>
        <w:rPr>
          <w:color w:val="auto"/>
        </w:rPr>
        <w:tab/>
      </w:r>
      <w:r>
        <w:rPr>
          <w:color w:val="auto"/>
        </w:rPr>
        <w:fldChar w:fldCharType="begin"/>
      </w:r>
      <w:r>
        <w:rPr>
          <w:color w:val="auto"/>
        </w:rPr>
        <w:instrText xml:space="preserve"> PAGEREF _Toc4280 \h </w:instrText>
      </w:r>
      <w:r>
        <w:rPr>
          <w:color w:val="auto"/>
        </w:rPr>
        <w:fldChar w:fldCharType="separate"/>
      </w:r>
      <w:r>
        <w:rPr>
          <w:color w:val="auto"/>
        </w:rPr>
        <w:t>73</w:t>
      </w:r>
      <w:r>
        <w:rPr>
          <w:color w:val="auto"/>
        </w:rPr>
        <w:fldChar w:fldCharType="end"/>
      </w:r>
      <w:r>
        <w:rPr>
          <w:rFonts w:hint="eastAsia" w:ascii="黑体" w:hAnsi="黑体" w:eastAsia="黑体"/>
          <w:snapToGrid w:val="0"/>
          <w:color w:val="auto"/>
          <w:szCs w:val="30"/>
        </w:rPr>
        <w:fldChar w:fldCharType="end"/>
      </w:r>
    </w:p>
    <w:p w14:paraId="438AF898">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_Toc28401 </w:instrText>
      </w:r>
      <w:r>
        <w:rPr>
          <w:rFonts w:hint="eastAsia" w:ascii="黑体" w:hAnsi="黑体" w:eastAsia="黑体"/>
          <w:snapToGrid w:val="0"/>
          <w:color w:val="auto"/>
          <w:szCs w:val="30"/>
        </w:rPr>
        <w:fldChar w:fldCharType="separate"/>
      </w:r>
      <w:r>
        <w:rPr>
          <w:rFonts w:hint="eastAsia"/>
          <w:color w:val="auto"/>
        </w:rPr>
        <w:t>附图3 环境保护目标分布图</w:t>
      </w:r>
      <w:r>
        <w:rPr>
          <w:color w:val="auto"/>
        </w:rPr>
        <w:tab/>
      </w:r>
      <w:r>
        <w:rPr>
          <w:color w:val="auto"/>
        </w:rPr>
        <w:fldChar w:fldCharType="begin"/>
      </w:r>
      <w:r>
        <w:rPr>
          <w:color w:val="auto"/>
        </w:rPr>
        <w:instrText xml:space="preserve"> PAGEREF _Toc28401 \h </w:instrText>
      </w:r>
      <w:r>
        <w:rPr>
          <w:color w:val="auto"/>
        </w:rPr>
        <w:fldChar w:fldCharType="separate"/>
      </w:r>
      <w:r>
        <w:rPr>
          <w:color w:val="auto"/>
        </w:rPr>
        <w:t>74</w:t>
      </w:r>
      <w:r>
        <w:rPr>
          <w:color w:val="auto"/>
        </w:rPr>
        <w:fldChar w:fldCharType="end"/>
      </w:r>
      <w:r>
        <w:rPr>
          <w:rFonts w:hint="eastAsia" w:ascii="黑体" w:hAnsi="黑体" w:eastAsia="黑体"/>
          <w:snapToGrid w:val="0"/>
          <w:color w:val="auto"/>
          <w:szCs w:val="30"/>
        </w:rPr>
        <w:fldChar w:fldCharType="end"/>
      </w:r>
    </w:p>
    <w:p w14:paraId="36C5E587">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_Toc15434 </w:instrText>
      </w:r>
      <w:r>
        <w:rPr>
          <w:rFonts w:hint="eastAsia" w:ascii="黑体" w:hAnsi="黑体" w:eastAsia="黑体"/>
          <w:snapToGrid w:val="0"/>
          <w:color w:val="auto"/>
          <w:szCs w:val="30"/>
        </w:rPr>
        <w:fldChar w:fldCharType="separate"/>
      </w:r>
      <w:r>
        <w:rPr>
          <w:rFonts w:hint="eastAsia"/>
          <w:color w:val="auto"/>
        </w:rPr>
        <w:t>附图4 与柳州白莲机场净空保护区域关系图</w:t>
      </w:r>
      <w:r>
        <w:rPr>
          <w:color w:val="auto"/>
        </w:rPr>
        <w:tab/>
      </w:r>
      <w:r>
        <w:rPr>
          <w:color w:val="auto"/>
        </w:rPr>
        <w:fldChar w:fldCharType="begin"/>
      </w:r>
      <w:r>
        <w:rPr>
          <w:color w:val="auto"/>
        </w:rPr>
        <w:instrText xml:space="preserve"> PAGEREF _Toc15434 \h </w:instrText>
      </w:r>
      <w:r>
        <w:rPr>
          <w:color w:val="auto"/>
        </w:rPr>
        <w:fldChar w:fldCharType="separate"/>
      </w:r>
      <w:r>
        <w:rPr>
          <w:color w:val="auto"/>
        </w:rPr>
        <w:t>75</w:t>
      </w:r>
      <w:r>
        <w:rPr>
          <w:color w:val="auto"/>
        </w:rPr>
        <w:fldChar w:fldCharType="end"/>
      </w:r>
      <w:r>
        <w:rPr>
          <w:rFonts w:hint="eastAsia" w:ascii="黑体" w:hAnsi="黑体" w:eastAsia="黑体"/>
          <w:snapToGrid w:val="0"/>
          <w:color w:val="auto"/>
          <w:szCs w:val="30"/>
        </w:rPr>
        <w:fldChar w:fldCharType="end"/>
      </w:r>
    </w:p>
    <w:p w14:paraId="2A6F6F3A">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_Toc20703 </w:instrText>
      </w:r>
      <w:r>
        <w:rPr>
          <w:rFonts w:hint="eastAsia" w:ascii="黑体" w:hAnsi="黑体" w:eastAsia="黑体"/>
          <w:snapToGrid w:val="0"/>
          <w:color w:val="auto"/>
          <w:szCs w:val="30"/>
        </w:rPr>
        <w:fldChar w:fldCharType="separate"/>
      </w:r>
      <w:r>
        <w:rPr>
          <w:rFonts w:hint="eastAsia"/>
          <w:color w:val="auto"/>
        </w:rPr>
        <w:t>附图5 项目与新兴工业集中区土地利用规划位置关系图</w:t>
      </w:r>
      <w:r>
        <w:rPr>
          <w:color w:val="auto"/>
        </w:rPr>
        <w:tab/>
      </w:r>
      <w:r>
        <w:rPr>
          <w:color w:val="auto"/>
        </w:rPr>
        <w:fldChar w:fldCharType="begin"/>
      </w:r>
      <w:r>
        <w:rPr>
          <w:color w:val="auto"/>
        </w:rPr>
        <w:instrText xml:space="preserve"> PAGEREF _Toc20703 \h </w:instrText>
      </w:r>
      <w:r>
        <w:rPr>
          <w:color w:val="auto"/>
        </w:rPr>
        <w:fldChar w:fldCharType="separate"/>
      </w:r>
      <w:r>
        <w:rPr>
          <w:color w:val="auto"/>
        </w:rPr>
        <w:t>76</w:t>
      </w:r>
      <w:r>
        <w:rPr>
          <w:color w:val="auto"/>
        </w:rPr>
        <w:fldChar w:fldCharType="end"/>
      </w:r>
      <w:r>
        <w:rPr>
          <w:rFonts w:hint="eastAsia" w:ascii="黑体" w:hAnsi="黑体" w:eastAsia="黑体"/>
          <w:snapToGrid w:val="0"/>
          <w:color w:val="auto"/>
          <w:szCs w:val="30"/>
        </w:rPr>
        <w:fldChar w:fldCharType="end"/>
      </w:r>
    </w:p>
    <w:p w14:paraId="19DF310B">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_Toc16176 </w:instrText>
      </w:r>
      <w:r>
        <w:rPr>
          <w:rFonts w:hint="eastAsia" w:ascii="黑体" w:hAnsi="黑体" w:eastAsia="黑体"/>
          <w:snapToGrid w:val="0"/>
          <w:color w:val="auto"/>
          <w:szCs w:val="30"/>
        </w:rPr>
        <w:fldChar w:fldCharType="separate"/>
      </w:r>
      <w:r>
        <w:rPr>
          <w:rFonts w:hint="eastAsia"/>
          <w:color w:val="auto"/>
        </w:rPr>
        <w:t>附图6 声环境功能区划图</w:t>
      </w:r>
      <w:r>
        <w:rPr>
          <w:color w:val="auto"/>
        </w:rPr>
        <w:tab/>
      </w:r>
      <w:r>
        <w:rPr>
          <w:color w:val="auto"/>
        </w:rPr>
        <w:fldChar w:fldCharType="begin"/>
      </w:r>
      <w:r>
        <w:rPr>
          <w:color w:val="auto"/>
        </w:rPr>
        <w:instrText xml:space="preserve"> PAGEREF _Toc16176 \h </w:instrText>
      </w:r>
      <w:r>
        <w:rPr>
          <w:color w:val="auto"/>
        </w:rPr>
        <w:fldChar w:fldCharType="separate"/>
      </w:r>
      <w:r>
        <w:rPr>
          <w:color w:val="auto"/>
        </w:rPr>
        <w:t>77</w:t>
      </w:r>
      <w:r>
        <w:rPr>
          <w:color w:val="auto"/>
        </w:rPr>
        <w:fldChar w:fldCharType="end"/>
      </w:r>
      <w:r>
        <w:rPr>
          <w:rFonts w:hint="eastAsia" w:ascii="黑体" w:hAnsi="黑体" w:eastAsia="黑体"/>
          <w:snapToGrid w:val="0"/>
          <w:color w:val="auto"/>
          <w:szCs w:val="30"/>
        </w:rPr>
        <w:fldChar w:fldCharType="end"/>
      </w:r>
    </w:p>
    <w:p w14:paraId="45A14B12">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_Toc19003 </w:instrText>
      </w:r>
      <w:r>
        <w:rPr>
          <w:rFonts w:hint="eastAsia" w:ascii="黑体" w:hAnsi="黑体" w:eastAsia="黑体"/>
          <w:snapToGrid w:val="0"/>
          <w:color w:val="auto"/>
          <w:szCs w:val="30"/>
        </w:rPr>
        <w:fldChar w:fldCharType="separate"/>
      </w:r>
      <w:r>
        <w:rPr>
          <w:rFonts w:hint="eastAsia"/>
          <w:color w:val="auto"/>
        </w:rPr>
        <w:t>附图7 空气功能区划分示意图</w:t>
      </w:r>
      <w:r>
        <w:rPr>
          <w:color w:val="auto"/>
        </w:rPr>
        <w:tab/>
      </w:r>
      <w:r>
        <w:rPr>
          <w:color w:val="auto"/>
        </w:rPr>
        <w:fldChar w:fldCharType="begin"/>
      </w:r>
      <w:r>
        <w:rPr>
          <w:color w:val="auto"/>
        </w:rPr>
        <w:instrText xml:space="preserve"> PAGEREF _Toc19003 \h </w:instrText>
      </w:r>
      <w:r>
        <w:rPr>
          <w:color w:val="auto"/>
        </w:rPr>
        <w:fldChar w:fldCharType="separate"/>
      </w:r>
      <w:r>
        <w:rPr>
          <w:color w:val="auto"/>
        </w:rPr>
        <w:t>78</w:t>
      </w:r>
      <w:r>
        <w:rPr>
          <w:color w:val="auto"/>
        </w:rPr>
        <w:fldChar w:fldCharType="end"/>
      </w:r>
      <w:r>
        <w:rPr>
          <w:rFonts w:hint="eastAsia" w:ascii="黑体" w:hAnsi="黑体" w:eastAsia="黑体"/>
          <w:snapToGrid w:val="0"/>
          <w:color w:val="auto"/>
          <w:szCs w:val="30"/>
        </w:rPr>
        <w:fldChar w:fldCharType="end"/>
      </w:r>
    </w:p>
    <w:p w14:paraId="78639A85">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_Toc22673 </w:instrText>
      </w:r>
      <w:r>
        <w:rPr>
          <w:rFonts w:hint="eastAsia" w:ascii="黑体" w:hAnsi="黑体" w:eastAsia="黑体"/>
          <w:snapToGrid w:val="0"/>
          <w:color w:val="auto"/>
          <w:szCs w:val="30"/>
        </w:rPr>
        <w:fldChar w:fldCharType="separate"/>
      </w:r>
      <w:r>
        <w:rPr>
          <w:rFonts w:hint="eastAsia"/>
          <w:color w:val="auto"/>
        </w:rPr>
        <w:t>附图8 项目所在柳州市环境管控单元分类图</w:t>
      </w:r>
      <w:r>
        <w:rPr>
          <w:color w:val="auto"/>
        </w:rPr>
        <w:tab/>
      </w:r>
      <w:r>
        <w:rPr>
          <w:color w:val="auto"/>
        </w:rPr>
        <w:fldChar w:fldCharType="begin"/>
      </w:r>
      <w:r>
        <w:rPr>
          <w:color w:val="auto"/>
        </w:rPr>
        <w:instrText xml:space="preserve"> PAGEREF _Toc22673 \h </w:instrText>
      </w:r>
      <w:r>
        <w:rPr>
          <w:color w:val="auto"/>
        </w:rPr>
        <w:fldChar w:fldCharType="separate"/>
      </w:r>
      <w:r>
        <w:rPr>
          <w:color w:val="auto"/>
        </w:rPr>
        <w:t>79</w:t>
      </w:r>
      <w:r>
        <w:rPr>
          <w:color w:val="auto"/>
        </w:rPr>
        <w:fldChar w:fldCharType="end"/>
      </w:r>
      <w:r>
        <w:rPr>
          <w:rFonts w:hint="eastAsia" w:ascii="黑体" w:hAnsi="黑体" w:eastAsia="黑体"/>
          <w:snapToGrid w:val="0"/>
          <w:color w:val="auto"/>
          <w:szCs w:val="30"/>
        </w:rPr>
        <w:fldChar w:fldCharType="end"/>
      </w:r>
    </w:p>
    <w:p w14:paraId="6AB1AE7E">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_Toc19163 </w:instrText>
      </w:r>
      <w:r>
        <w:rPr>
          <w:rFonts w:hint="eastAsia" w:ascii="黑体" w:hAnsi="黑体" w:eastAsia="黑体"/>
          <w:snapToGrid w:val="0"/>
          <w:color w:val="auto"/>
          <w:szCs w:val="30"/>
        </w:rPr>
        <w:fldChar w:fldCharType="separate"/>
      </w:r>
      <w:r>
        <w:rPr>
          <w:rFonts w:hint="eastAsia"/>
          <w:color w:val="auto"/>
        </w:rPr>
        <w:t>附图9 厂区现状图</w:t>
      </w:r>
      <w:r>
        <w:rPr>
          <w:color w:val="auto"/>
        </w:rPr>
        <w:tab/>
      </w:r>
      <w:r>
        <w:rPr>
          <w:color w:val="auto"/>
        </w:rPr>
        <w:fldChar w:fldCharType="begin"/>
      </w:r>
      <w:r>
        <w:rPr>
          <w:color w:val="auto"/>
        </w:rPr>
        <w:instrText xml:space="preserve"> PAGEREF _Toc19163 \h </w:instrText>
      </w:r>
      <w:r>
        <w:rPr>
          <w:color w:val="auto"/>
        </w:rPr>
        <w:fldChar w:fldCharType="separate"/>
      </w:r>
      <w:r>
        <w:rPr>
          <w:color w:val="auto"/>
        </w:rPr>
        <w:t>80</w:t>
      </w:r>
      <w:r>
        <w:rPr>
          <w:color w:val="auto"/>
        </w:rPr>
        <w:fldChar w:fldCharType="end"/>
      </w:r>
      <w:r>
        <w:rPr>
          <w:rFonts w:hint="eastAsia" w:ascii="黑体" w:hAnsi="黑体" w:eastAsia="黑体"/>
          <w:snapToGrid w:val="0"/>
          <w:color w:val="auto"/>
          <w:szCs w:val="30"/>
        </w:rPr>
        <w:fldChar w:fldCharType="end"/>
      </w:r>
    </w:p>
    <w:p w14:paraId="5DF870DD">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_Toc22797 </w:instrText>
      </w:r>
      <w:r>
        <w:rPr>
          <w:rFonts w:hint="eastAsia" w:ascii="黑体" w:hAnsi="黑体" w:eastAsia="黑体"/>
          <w:snapToGrid w:val="0"/>
          <w:color w:val="auto"/>
          <w:szCs w:val="30"/>
        </w:rPr>
        <w:fldChar w:fldCharType="separate"/>
      </w:r>
      <w:r>
        <w:rPr>
          <w:rFonts w:hint="eastAsia"/>
          <w:color w:val="auto"/>
        </w:rPr>
        <w:t>附图10 新兴小城镇产业园区控制性详细规划图</w:t>
      </w:r>
      <w:r>
        <w:rPr>
          <w:color w:val="auto"/>
        </w:rPr>
        <w:tab/>
      </w:r>
      <w:r>
        <w:rPr>
          <w:color w:val="auto"/>
        </w:rPr>
        <w:fldChar w:fldCharType="begin"/>
      </w:r>
      <w:r>
        <w:rPr>
          <w:color w:val="auto"/>
        </w:rPr>
        <w:instrText xml:space="preserve"> PAGEREF _Toc22797 \h </w:instrText>
      </w:r>
      <w:r>
        <w:rPr>
          <w:color w:val="auto"/>
        </w:rPr>
        <w:fldChar w:fldCharType="separate"/>
      </w:r>
      <w:r>
        <w:rPr>
          <w:color w:val="auto"/>
        </w:rPr>
        <w:t>83</w:t>
      </w:r>
      <w:r>
        <w:rPr>
          <w:color w:val="auto"/>
        </w:rPr>
        <w:fldChar w:fldCharType="end"/>
      </w:r>
      <w:r>
        <w:rPr>
          <w:rFonts w:hint="eastAsia" w:ascii="黑体" w:hAnsi="黑体" w:eastAsia="黑体"/>
          <w:snapToGrid w:val="0"/>
          <w:color w:val="auto"/>
          <w:szCs w:val="30"/>
        </w:rPr>
        <w:fldChar w:fldCharType="end"/>
      </w:r>
    </w:p>
    <w:p w14:paraId="6072CE44">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_Toc2165 </w:instrText>
      </w:r>
      <w:r>
        <w:rPr>
          <w:rFonts w:hint="eastAsia" w:ascii="黑体" w:hAnsi="黑体" w:eastAsia="黑体"/>
          <w:snapToGrid w:val="0"/>
          <w:color w:val="auto"/>
          <w:szCs w:val="30"/>
        </w:rPr>
        <w:fldChar w:fldCharType="separate"/>
      </w:r>
      <w:r>
        <w:rPr>
          <w:rFonts w:hint="eastAsia"/>
          <w:color w:val="auto"/>
          <w:lang w:val="en-US" w:eastAsia="zh-CN"/>
        </w:rPr>
        <w:t>附件</w:t>
      </w:r>
      <w:r>
        <w:rPr>
          <w:color w:val="auto"/>
        </w:rPr>
        <w:tab/>
      </w:r>
      <w:r>
        <w:rPr>
          <w:color w:val="auto"/>
        </w:rPr>
        <w:fldChar w:fldCharType="begin"/>
      </w:r>
      <w:r>
        <w:rPr>
          <w:color w:val="auto"/>
        </w:rPr>
        <w:instrText xml:space="preserve"> PAGEREF _Toc2165 \h </w:instrText>
      </w:r>
      <w:r>
        <w:rPr>
          <w:color w:val="auto"/>
        </w:rPr>
        <w:fldChar w:fldCharType="separate"/>
      </w:r>
      <w:r>
        <w:rPr>
          <w:color w:val="auto"/>
        </w:rPr>
        <w:t>84</w:t>
      </w:r>
      <w:r>
        <w:rPr>
          <w:color w:val="auto"/>
        </w:rPr>
        <w:fldChar w:fldCharType="end"/>
      </w:r>
      <w:r>
        <w:rPr>
          <w:rFonts w:hint="eastAsia" w:ascii="黑体" w:hAnsi="黑体" w:eastAsia="黑体"/>
          <w:snapToGrid w:val="0"/>
          <w:color w:val="auto"/>
          <w:szCs w:val="30"/>
        </w:rPr>
        <w:fldChar w:fldCharType="end"/>
      </w:r>
    </w:p>
    <w:p w14:paraId="1222ACBB">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_Toc4275 </w:instrText>
      </w:r>
      <w:r>
        <w:rPr>
          <w:rFonts w:hint="eastAsia" w:ascii="黑体" w:hAnsi="黑体" w:eastAsia="黑体"/>
          <w:snapToGrid w:val="0"/>
          <w:color w:val="auto"/>
          <w:szCs w:val="30"/>
        </w:rPr>
        <w:fldChar w:fldCharType="separate"/>
      </w:r>
      <w:r>
        <w:rPr>
          <w:rFonts w:hint="eastAsia"/>
          <w:color w:val="auto"/>
        </w:rPr>
        <w:t>附件1 环评委托书</w:t>
      </w:r>
      <w:r>
        <w:rPr>
          <w:color w:val="auto"/>
        </w:rPr>
        <w:tab/>
      </w:r>
      <w:r>
        <w:rPr>
          <w:color w:val="auto"/>
        </w:rPr>
        <w:fldChar w:fldCharType="begin"/>
      </w:r>
      <w:r>
        <w:rPr>
          <w:color w:val="auto"/>
        </w:rPr>
        <w:instrText xml:space="preserve"> PAGEREF _Toc4275 \h </w:instrText>
      </w:r>
      <w:r>
        <w:rPr>
          <w:color w:val="auto"/>
        </w:rPr>
        <w:fldChar w:fldCharType="separate"/>
      </w:r>
      <w:r>
        <w:rPr>
          <w:color w:val="auto"/>
        </w:rPr>
        <w:t>84</w:t>
      </w:r>
      <w:r>
        <w:rPr>
          <w:color w:val="auto"/>
        </w:rPr>
        <w:fldChar w:fldCharType="end"/>
      </w:r>
      <w:r>
        <w:rPr>
          <w:rFonts w:hint="eastAsia" w:ascii="黑体" w:hAnsi="黑体" w:eastAsia="黑体"/>
          <w:snapToGrid w:val="0"/>
          <w:color w:val="auto"/>
          <w:szCs w:val="30"/>
        </w:rPr>
        <w:fldChar w:fldCharType="end"/>
      </w:r>
    </w:p>
    <w:p w14:paraId="0D0E795F">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_Toc1864 </w:instrText>
      </w:r>
      <w:r>
        <w:rPr>
          <w:rFonts w:hint="eastAsia" w:ascii="黑体" w:hAnsi="黑体" w:eastAsia="黑体"/>
          <w:snapToGrid w:val="0"/>
          <w:color w:val="auto"/>
          <w:szCs w:val="30"/>
        </w:rPr>
        <w:fldChar w:fldCharType="separate"/>
      </w:r>
      <w:r>
        <w:rPr>
          <w:rFonts w:hint="eastAsia"/>
          <w:color w:val="auto"/>
        </w:rPr>
        <w:t>附件2 营业执照</w:t>
      </w:r>
      <w:r>
        <w:rPr>
          <w:color w:val="auto"/>
        </w:rPr>
        <w:tab/>
      </w:r>
      <w:r>
        <w:rPr>
          <w:color w:val="auto"/>
        </w:rPr>
        <w:fldChar w:fldCharType="begin"/>
      </w:r>
      <w:r>
        <w:rPr>
          <w:color w:val="auto"/>
        </w:rPr>
        <w:instrText xml:space="preserve"> PAGEREF _Toc1864 \h </w:instrText>
      </w:r>
      <w:r>
        <w:rPr>
          <w:color w:val="auto"/>
        </w:rPr>
        <w:fldChar w:fldCharType="separate"/>
      </w:r>
      <w:r>
        <w:rPr>
          <w:color w:val="auto"/>
        </w:rPr>
        <w:t>85</w:t>
      </w:r>
      <w:r>
        <w:rPr>
          <w:color w:val="auto"/>
        </w:rPr>
        <w:fldChar w:fldCharType="end"/>
      </w:r>
      <w:r>
        <w:rPr>
          <w:rFonts w:hint="eastAsia" w:ascii="黑体" w:hAnsi="黑体" w:eastAsia="黑体"/>
          <w:snapToGrid w:val="0"/>
          <w:color w:val="auto"/>
          <w:szCs w:val="30"/>
        </w:rPr>
        <w:fldChar w:fldCharType="end"/>
      </w:r>
    </w:p>
    <w:p w14:paraId="13D2A85B">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_Toc15750 </w:instrText>
      </w:r>
      <w:r>
        <w:rPr>
          <w:rFonts w:hint="eastAsia" w:ascii="黑体" w:hAnsi="黑体" w:eastAsia="黑体"/>
          <w:snapToGrid w:val="0"/>
          <w:color w:val="auto"/>
          <w:szCs w:val="30"/>
        </w:rPr>
        <w:fldChar w:fldCharType="separate"/>
      </w:r>
      <w:r>
        <w:rPr>
          <w:rFonts w:hint="eastAsia"/>
          <w:color w:val="auto"/>
        </w:rPr>
        <w:t>附件3 备案赋码表</w:t>
      </w:r>
      <w:r>
        <w:rPr>
          <w:color w:val="auto"/>
        </w:rPr>
        <w:tab/>
      </w:r>
      <w:r>
        <w:rPr>
          <w:color w:val="auto"/>
        </w:rPr>
        <w:fldChar w:fldCharType="begin"/>
      </w:r>
      <w:r>
        <w:rPr>
          <w:color w:val="auto"/>
        </w:rPr>
        <w:instrText xml:space="preserve"> PAGEREF _Toc15750 \h </w:instrText>
      </w:r>
      <w:r>
        <w:rPr>
          <w:color w:val="auto"/>
        </w:rPr>
        <w:fldChar w:fldCharType="separate"/>
      </w:r>
      <w:r>
        <w:rPr>
          <w:color w:val="auto"/>
        </w:rPr>
        <w:t>86</w:t>
      </w:r>
      <w:r>
        <w:rPr>
          <w:color w:val="auto"/>
        </w:rPr>
        <w:fldChar w:fldCharType="end"/>
      </w:r>
      <w:r>
        <w:rPr>
          <w:rFonts w:hint="eastAsia" w:ascii="黑体" w:hAnsi="黑体" w:eastAsia="黑体"/>
          <w:snapToGrid w:val="0"/>
          <w:color w:val="auto"/>
          <w:szCs w:val="30"/>
        </w:rPr>
        <w:fldChar w:fldCharType="end"/>
      </w:r>
    </w:p>
    <w:p w14:paraId="460D4D2C">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_Toc13576 </w:instrText>
      </w:r>
      <w:r>
        <w:rPr>
          <w:rFonts w:hint="eastAsia" w:ascii="黑体" w:hAnsi="黑体" w:eastAsia="黑体"/>
          <w:snapToGrid w:val="0"/>
          <w:color w:val="auto"/>
          <w:szCs w:val="30"/>
        </w:rPr>
        <w:fldChar w:fldCharType="separate"/>
      </w:r>
      <w:r>
        <w:rPr>
          <w:rFonts w:hint="eastAsia"/>
          <w:color w:val="auto"/>
        </w:rPr>
        <w:t>附件4 产权证明</w:t>
      </w:r>
      <w:r>
        <w:rPr>
          <w:color w:val="auto"/>
        </w:rPr>
        <w:tab/>
      </w:r>
      <w:r>
        <w:rPr>
          <w:color w:val="auto"/>
        </w:rPr>
        <w:fldChar w:fldCharType="begin"/>
      </w:r>
      <w:r>
        <w:rPr>
          <w:color w:val="auto"/>
        </w:rPr>
        <w:instrText xml:space="preserve"> PAGEREF _Toc13576 \h </w:instrText>
      </w:r>
      <w:r>
        <w:rPr>
          <w:color w:val="auto"/>
        </w:rPr>
        <w:fldChar w:fldCharType="separate"/>
      </w:r>
      <w:r>
        <w:rPr>
          <w:color w:val="auto"/>
        </w:rPr>
        <w:t>88</w:t>
      </w:r>
      <w:r>
        <w:rPr>
          <w:color w:val="auto"/>
        </w:rPr>
        <w:fldChar w:fldCharType="end"/>
      </w:r>
      <w:r>
        <w:rPr>
          <w:rFonts w:hint="eastAsia" w:ascii="黑体" w:hAnsi="黑体" w:eastAsia="黑体"/>
          <w:snapToGrid w:val="0"/>
          <w:color w:val="auto"/>
          <w:szCs w:val="30"/>
        </w:rPr>
        <w:fldChar w:fldCharType="end"/>
      </w:r>
    </w:p>
    <w:p w14:paraId="2B717AA2">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_Toc1857 </w:instrText>
      </w:r>
      <w:r>
        <w:rPr>
          <w:rFonts w:hint="eastAsia" w:ascii="黑体" w:hAnsi="黑体" w:eastAsia="黑体"/>
          <w:snapToGrid w:val="0"/>
          <w:color w:val="auto"/>
          <w:szCs w:val="30"/>
        </w:rPr>
        <w:fldChar w:fldCharType="separate"/>
      </w:r>
      <w:r>
        <w:rPr>
          <w:rFonts w:hint="eastAsia"/>
          <w:color w:val="auto"/>
        </w:rPr>
        <w:t>附件5 食品生产许可证</w:t>
      </w:r>
      <w:r>
        <w:rPr>
          <w:color w:val="auto"/>
        </w:rPr>
        <w:tab/>
      </w:r>
      <w:r>
        <w:rPr>
          <w:color w:val="auto"/>
        </w:rPr>
        <w:fldChar w:fldCharType="begin"/>
      </w:r>
      <w:r>
        <w:rPr>
          <w:color w:val="auto"/>
        </w:rPr>
        <w:instrText xml:space="preserve"> PAGEREF _Toc1857 \h </w:instrText>
      </w:r>
      <w:r>
        <w:rPr>
          <w:color w:val="auto"/>
        </w:rPr>
        <w:fldChar w:fldCharType="separate"/>
      </w:r>
      <w:r>
        <w:rPr>
          <w:color w:val="auto"/>
        </w:rPr>
        <w:t>91</w:t>
      </w:r>
      <w:r>
        <w:rPr>
          <w:color w:val="auto"/>
        </w:rPr>
        <w:fldChar w:fldCharType="end"/>
      </w:r>
      <w:r>
        <w:rPr>
          <w:rFonts w:hint="eastAsia" w:ascii="黑体" w:hAnsi="黑体" w:eastAsia="黑体"/>
          <w:snapToGrid w:val="0"/>
          <w:color w:val="auto"/>
          <w:szCs w:val="30"/>
        </w:rPr>
        <w:fldChar w:fldCharType="end"/>
      </w:r>
    </w:p>
    <w:p w14:paraId="4BB282EB">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_Toc4106 </w:instrText>
      </w:r>
      <w:r>
        <w:rPr>
          <w:rFonts w:hint="eastAsia" w:ascii="黑体" w:hAnsi="黑体" w:eastAsia="黑体"/>
          <w:snapToGrid w:val="0"/>
          <w:color w:val="auto"/>
          <w:szCs w:val="30"/>
        </w:rPr>
        <w:fldChar w:fldCharType="separate"/>
      </w:r>
      <w:r>
        <w:rPr>
          <w:rFonts w:hint="eastAsia"/>
          <w:color w:val="auto"/>
        </w:rPr>
        <w:t>附件6 法人身份证</w:t>
      </w:r>
      <w:r>
        <w:rPr>
          <w:color w:val="auto"/>
        </w:rPr>
        <w:tab/>
      </w:r>
      <w:r>
        <w:rPr>
          <w:color w:val="auto"/>
        </w:rPr>
        <w:fldChar w:fldCharType="begin"/>
      </w:r>
      <w:r>
        <w:rPr>
          <w:color w:val="auto"/>
        </w:rPr>
        <w:instrText xml:space="preserve"> PAGEREF _Toc4106 \h </w:instrText>
      </w:r>
      <w:r>
        <w:rPr>
          <w:color w:val="auto"/>
        </w:rPr>
        <w:fldChar w:fldCharType="separate"/>
      </w:r>
      <w:r>
        <w:rPr>
          <w:color w:val="auto"/>
        </w:rPr>
        <w:t>92</w:t>
      </w:r>
      <w:r>
        <w:rPr>
          <w:color w:val="auto"/>
        </w:rPr>
        <w:fldChar w:fldCharType="end"/>
      </w:r>
      <w:r>
        <w:rPr>
          <w:rFonts w:hint="eastAsia" w:ascii="黑体" w:hAnsi="黑体" w:eastAsia="黑体"/>
          <w:snapToGrid w:val="0"/>
          <w:color w:val="auto"/>
          <w:szCs w:val="30"/>
        </w:rPr>
        <w:fldChar w:fldCharType="end"/>
      </w:r>
    </w:p>
    <w:p w14:paraId="7F64386C">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_Toc14915 </w:instrText>
      </w:r>
      <w:r>
        <w:rPr>
          <w:rFonts w:hint="eastAsia" w:ascii="黑体" w:hAnsi="黑体" w:eastAsia="黑体"/>
          <w:snapToGrid w:val="0"/>
          <w:color w:val="auto"/>
          <w:szCs w:val="30"/>
        </w:rPr>
        <w:fldChar w:fldCharType="separate"/>
      </w:r>
      <w:r>
        <w:rPr>
          <w:rFonts w:hint="eastAsia"/>
          <w:color w:val="auto"/>
        </w:rPr>
        <w:t>附件7 企业责任说明书</w:t>
      </w:r>
      <w:r>
        <w:rPr>
          <w:color w:val="auto"/>
        </w:rPr>
        <w:tab/>
      </w:r>
      <w:r>
        <w:rPr>
          <w:color w:val="auto"/>
        </w:rPr>
        <w:fldChar w:fldCharType="begin"/>
      </w:r>
      <w:r>
        <w:rPr>
          <w:color w:val="auto"/>
        </w:rPr>
        <w:instrText xml:space="preserve"> PAGEREF _Toc14915 \h </w:instrText>
      </w:r>
      <w:r>
        <w:rPr>
          <w:color w:val="auto"/>
        </w:rPr>
        <w:fldChar w:fldCharType="separate"/>
      </w:r>
      <w:r>
        <w:rPr>
          <w:color w:val="auto"/>
        </w:rPr>
        <w:t>93</w:t>
      </w:r>
      <w:r>
        <w:rPr>
          <w:color w:val="auto"/>
        </w:rPr>
        <w:fldChar w:fldCharType="end"/>
      </w:r>
      <w:r>
        <w:rPr>
          <w:rFonts w:hint="eastAsia" w:ascii="黑体" w:hAnsi="黑体" w:eastAsia="黑体"/>
          <w:snapToGrid w:val="0"/>
          <w:color w:val="auto"/>
          <w:szCs w:val="30"/>
        </w:rPr>
        <w:fldChar w:fldCharType="end"/>
      </w:r>
    </w:p>
    <w:p w14:paraId="07801859">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_Toc25868 </w:instrText>
      </w:r>
      <w:r>
        <w:rPr>
          <w:rFonts w:hint="eastAsia" w:ascii="黑体" w:hAnsi="黑体" w:eastAsia="黑体"/>
          <w:snapToGrid w:val="0"/>
          <w:color w:val="auto"/>
          <w:szCs w:val="30"/>
        </w:rPr>
        <w:fldChar w:fldCharType="separate"/>
      </w:r>
      <w:r>
        <w:rPr>
          <w:rFonts w:hint="eastAsia"/>
          <w:color w:val="auto"/>
        </w:rPr>
        <w:t>附件8 编制主持人现场勘察记录</w:t>
      </w:r>
      <w:r>
        <w:rPr>
          <w:color w:val="auto"/>
        </w:rPr>
        <w:tab/>
      </w:r>
      <w:r>
        <w:rPr>
          <w:color w:val="auto"/>
        </w:rPr>
        <w:fldChar w:fldCharType="begin"/>
      </w:r>
      <w:r>
        <w:rPr>
          <w:color w:val="auto"/>
        </w:rPr>
        <w:instrText xml:space="preserve"> PAGEREF _Toc25868 \h </w:instrText>
      </w:r>
      <w:r>
        <w:rPr>
          <w:color w:val="auto"/>
        </w:rPr>
        <w:fldChar w:fldCharType="separate"/>
      </w:r>
      <w:r>
        <w:rPr>
          <w:color w:val="auto"/>
        </w:rPr>
        <w:t>94</w:t>
      </w:r>
      <w:r>
        <w:rPr>
          <w:color w:val="auto"/>
        </w:rPr>
        <w:fldChar w:fldCharType="end"/>
      </w:r>
      <w:r>
        <w:rPr>
          <w:rFonts w:hint="eastAsia" w:ascii="黑体" w:hAnsi="黑体" w:eastAsia="黑体"/>
          <w:snapToGrid w:val="0"/>
          <w:color w:val="auto"/>
          <w:szCs w:val="30"/>
        </w:rPr>
        <w:fldChar w:fldCharType="end"/>
      </w:r>
    </w:p>
    <w:p w14:paraId="7D26BBFF">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_Toc17092 </w:instrText>
      </w:r>
      <w:r>
        <w:rPr>
          <w:rFonts w:hint="eastAsia" w:ascii="黑体" w:hAnsi="黑体" w:eastAsia="黑体"/>
          <w:snapToGrid w:val="0"/>
          <w:color w:val="auto"/>
          <w:szCs w:val="30"/>
        </w:rPr>
        <w:fldChar w:fldCharType="separate"/>
      </w:r>
      <w:r>
        <w:rPr>
          <w:rFonts w:hint="eastAsia"/>
          <w:bCs/>
          <w:color w:val="auto"/>
        </w:rPr>
        <w:t>附件9 广西“生态云”平台建设项目智能研判报告</w:t>
      </w:r>
      <w:r>
        <w:rPr>
          <w:color w:val="auto"/>
        </w:rPr>
        <w:tab/>
      </w:r>
      <w:r>
        <w:rPr>
          <w:color w:val="auto"/>
        </w:rPr>
        <w:fldChar w:fldCharType="begin"/>
      </w:r>
      <w:r>
        <w:rPr>
          <w:color w:val="auto"/>
        </w:rPr>
        <w:instrText xml:space="preserve"> PAGEREF _Toc17092 \h </w:instrText>
      </w:r>
      <w:r>
        <w:rPr>
          <w:color w:val="auto"/>
        </w:rPr>
        <w:fldChar w:fldCharType="separate"/>
      </w:r>
      <w:r>
        <w:rPr>
          <w:color w:val="auto"/>
        </w:rPr>
        <w:t>96</w:t>
      </w:r>
      <w:r>
        <w:rPr>
          <w:color w:val="auto"/>
        </w:rPr>
        <w:fldChar w:fldCharType="end"/>
      </w:r>
      <w:r>
        <w:rPr>
          <w:rFonts w:hint="eastAsia" w:ascii="黑体" w:hAnsi="黑体" w:eastAsia="黑体"/>
          <w:snapToGrid w:val="0"/>
          <w:color w:val="auto"/>
          <w:szCs w:val="30"/>
        </w:rPr>
        <w:fldChar w:fldCharType="end"/>
      </w:r>
    </w:p>
    <w:p w14:paraId="0D84714D">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_Toc16401 </w:instrText>
      </w:r>
      <w:r>
        <w:rPr>
          <w:rFonts w:hint="eastAsia" w:ascii="黑体" w:hAnsi="黑体" w:eastAsia="黑体"/>
          <w:snapToGrid w:val="0"/>
          <w:color w:val="auto"/>
          <w:szCs w:val="30"/>
        </w:rPr>
        <w:fldChar w:fldCharType="separate"/>
      </w:r>
      <w:r>
        <w:rPr>
          <w:rFonts w:hint="eastAsia"/>
          <w:color w:val="auto"/>
        </w:rPr>
        <w:t>附件10 入园证明</w:t>
      </w:r>
      <w:r>
        <w:rPr>
          <w:color w:val="auto"/>
        </w:rPr>
        <w:tab/>
      </w:r>
      <w:r>
        <w:rPr>
          <w:color w:val="auto"/>
        </w:rPr>
        <w:fldChar w:fldCharType="begin"/>
      </w:r>
      <w:r>
        <w:rPr>
          <w:color w:val="auto"/>
        </w:rPr>
        <w:instrText xml:space="preserve"> PAGEREF _Toc16401 \h </w:instrText>
      </w:r>
      <w:r>
        <w:rPr>
          <w:color w:val="auto"/>
        </w:rPr>
        <w:fldChar w:fldCharType="separate"/>
      </w:r>
      <w:r>
        <w:rPr>
          <w:color w:val="auto"/>
        </w:rPr>
        <w:t>104</w:t>
      </w:r>
      <w:r>
        <w:rPr>
          <w:color w:val="auto"/>
        </w:rPr>
        <w:fldChar w:fldCharType="end"/>
      </w:r>
      <w:r>
        <w:rPr>
          <w:rFonts w:hint="eastAsia" w:ascii="黑体" w:hAnsi="黑体" w:eastAsia="黑体"/>
          <w:snapToGrid w:val="0"/>
          <w:color w:val="auto"/>
          <w:szCs w:val="30"/>
        </w:rPr>
        <w:fldChar w:fldCharType="end"/>
      </w:r>
    </w:p>
    <w:p w14:paraId="0F11BCBC">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_Toc12993 </w:instrText>
      </w:r>
      <w:r>
        <w:rPr>
          <w:rFonts w:hint="eastAsia" w:ascii="黑体" w:hAnsi="黑体" w:eastAsia="黑体"/>
          <w:snapToGrid w:val="0"/>
          <w:color w:val="auto"/>
          <w:szCs w:val="30"/>
        </w:rPr>
        <w:fldChar w:fldCharType="separate"/>
      </w:r>
      <w:r>
        <w:rPr>
          <w:rFonts w:hint="eastAsia"/>
          <w:color w:val="auto"/>
        </w:rPr>
        <w:t>附件11 TSP数据引用监测报告</w:t>
      </w:r>
      <w:r>
        <w:rPr>
          <w:color w:val="auto"/>
        </w:rPr>
        <w:tab/>
      </w:r>
      <w:r>
        <w:rPr>
          <w:color w:val="auto"/>
        </w:rPr>
        <w:fldChar w:fldCharType="begin"/>
      </w:r>
      <w:r>
        <w:rPr>
          <w:color w:val="auto"/>
        </w:rPr>
        <w:instrText xml:space="preserve"> PAGEREF _Toc12993 \h </w:instrText>
      </w:r>
      <w:r>
        <w:rPr>
          <w:color w:val="auto"/>
        </w:rPr>
        <w:fldChar w:fldCharType="separate"/>
      </w:r>
      <w:r>
        <w:rPr>
          <w:color w:val="auto"/>
        </w:rPr>
        <w:t>105</w:t>
      </w:r>
      <w:r>
        <w:rPr>
          <w:color w:val="auto"/>
        </w:rPr>
        <w:fldChar w:fldCharType="end"/>
      </w:r>
      <w:r>
        <w:rPr>
          <w:rFonts w:hint="eastAsia" w:ascii="黑体" w:hAnsi="黑体" w:eastAsia="黑体"/>
          <w:snapToGrid w:val="0"/>
          <w:color w:val="auto"/>
          <w:szCs w:val="30"/>
        </w:rPr>
        <w:fldChar w:fldCharType="end"/>
      </w:r>
    </w:p>
    <w:p w14:paraId="2D6D395E">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_Toc20762 </w:instrText>
      </w:r>
      <w:r>
        <w:rPr>
          <w:rFonts w:hint="eastAsia" w:ascii="黑体" w:hAnsi="黑体" w:eastAsia="黑体"/>
          <w:snapToGrid w:val="0"/>
          <w:color w:val="auto"/>
          <w:szCs w:val="30"/>
        </w:rPr>
        <w:fldChar w:fldCharType="separate"/>
      </w:r>
      <w:r>
        <w:rPr>
          <w:rFonts w:hint="eastAsia"/>
          <w:color w:val="auto"/>
        </w:rPr>
        <w:t>附件12 燃气管道合同</w:t>
      </w:r>
      <w:r>
        <w:rPr>
          <w:color w:val="auto"/>
        </w:rPr>
        <w:tab/>
      </w:r>
      <w:r>
        <w:rPr>
          <w:color w:val="auto"/>
        </w:rPr>
        <w:fldChar w:fldCharType="begin"/>
      </w:r>
      <w:r>
        <w:rPr>
          <w:color w:val="auto"/>
        </w:rPr>
        <w:instrText xml:space="preserve"> PAGEREF _Toc20762 \h </w:instrText>
      </w:r>
      <w:r>
        <w:rPr>
          <w:color w:val="auto"/>
        </w:rPr>
        <w:fldChar w:fldCharType="separate"/>
      </w:r>
      <w:r>
        <w:rPr>
          <w:color w:val="auto"/>
        </w:rPr>
        <w:t>109</w:t>
      </w:r>
      <w:r>
        <w:rPr>
          <w:color w:val="auto"/>
        </w:rPr>
        <w:fldChar w:fldCharType="end"/>
      </w:r>
      <w:r>
        <w:rPr>
          <w:rFonts w:hint="eastAsia" w:ascii="黑体" w:hAnsi="黑体" w:eastAsia="黑体"/>
          <w:snapToGrid w:val="0"/>
          <w:color w:val="auto"/>
          <w:szCs w:val="30"/>
        </w:rPr>
        <w:fldChar w:fldCharType="end"/>
      </w:r>
    </w:p>
    <w:p w14:paraId="0DC47381">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_Toc12357 </w:instrText>
      </w:r>
      <w:r>
        <w:rPr>
          <w:rFonts w:hint="eastAsia" w:ascii="黑体" w:hAnsi="黑体" w:eastAsia="黑体"/>
          <w:snapToGrid w:val="0"/>
          <w:color w:val="auto"/>
          <w:szCs w:val="30"/>
        </w:rPr>
        <w:fldChar w:fldCharType="separate"/>
      </w:r>
      <w:r>
        <w:rPr>
          <w:rFonts w:hint="eastAsia"/>
          <w:color w:val="auto"/>
        </w:rPr>
        <w:t>附件13 固废处置合同</w:t>
      </w:r>
      <w:r>
        <w:rPr>
          <w:color w:val="auto"/>
        </w:rPr>
        <w:tab/>
      </w:r>
      <w:r>
        <w:rPr>
          <w:color w:val="auto"/>
        </w:rPr>
        <w:fldChar w:fldCharType="begin"/>
      </w:r>
      <w:r>
        <w:rPr>
          <w:color w:val="auto"/>
        </w:rPr>
        <w:instrText xml:space="preserve"> PAGEREF _Toc12357 \h </w:instrText>
      </w:r>
      <w:r>
        <w:rPr>
          <w:color w:val="auto"/>
        </w:rPr>
        <w:fldChar w:fldCharType="separate"/>
      </w:r>
      <w:r>
        <w:rPr>
          <w:color w:val="auto"/>
        </w:rPr>
        <w:t>113</w:t>
      </w:r>
      <w:r>
        <w:rPr>
          <w:color w:val="auto"/>
        </w:rPr>
        <w:fldChar w:fldCharType="end"/>
      </w:r>
      <w:r>
        <w:rPr>
          <w:rFonts w:hint="eastAsia" w:ascii="黑体" w:hAnsi="黑体" w:eastAsia="黑体"/>
          <w:snapToGrid w:val="0"/>
          <w:color w:val="auto"/>
          <w:szCs w:val="30"/>
        </w:rPr>
        <w:fldChar w:fldCharType="end"/>
      </w:r>
    </w:p>
    <w:p w14:paraId="608E37AD">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_Toc19408 </w:instrText>
      </w:r>
      <w:r>
        <w:rPr>
          <w:rFonts w:hint="eastAsia" w:ascii="黑体" w:hAnsi="黑体" w:eastAsia="黑体"/>
          <w:snapToGrid w:val="0"/>
          <w:color w:val="auto"/>
          <w:szCs w:val="30"/>
        </w:rPr>
        <w:fldChar w:fldCharType="separate"/>
      </w:r>
      <w:r>
        <w:rPr>
          <w:rFonts w:hint="eastAsia"/>
          <w:color w:val="auto"/>
        </w:rPr>
        <w:t>附件14 责令整改文件</w:t>
      </w:r>
      <w:r>
        <w:rPr>
          <w:color w:val="auto"/>
        </w:rPr>
        <w:tab/>
      </w:r>
      <w:r>
        <w:rPr>
          <w:color w:val="auto"/>
        </w:rPr>
        <w:fldChar w:fldCharType="begin"/>
      </w:r>
      <w:r>
        <w:rPr>
          <w:color w:val="auto"/>
        </w:rPr>
        <w:instrText xml:space="preserve"> PAGEREF _Toc19408 \h </w:instrText>
      </w:r>
      <w:r>
        <w:rPr>
          <w:color w:val="auto"/>
        </w:rPr>
        <w:fldChar w:fldCharType="separate"/>
      </w:r>
      <w:r>
        <w:rPr>
          <w:color w:val="auto"/>
        </w:rPr>
        <w:t>117</w:t>
      </w:r>
      <w:r>
        <w:rPr>
          <w:color w:val="auto"/>
        </w:rPr>
        <w:fldChar w:fldCharType="end"/>
      </w:r>
      <w:r>
        <w:rPr>
          <w:rFonts w:hint="eastAsia" w:ascii="黑体" w:hAnsi="黑体" w:eastAsia="黑体"/>
          <w:snapToGrid w:val="0"/>
          <w:color w:val="auto"/>
          <w:szCs w:val="30"/>
        </w:rPr>
        <w:fldChar w:fldCharType="end"/>
      </w:r>
    </w:p>
    <w:p w14:paraId="0F957CD9">
      <w:pPr>
        <w:pStyle w:val="12"/>
        <w:tabs>
          <w:tab w:val="right" w:leader="dot" w:pos="8844"/>
        </w:tabs>
        <w:rPr>
          <w:color w:val="auto"/>
        </w:rPr>
      </w:pPr>
      <w:r>
        <w:rPr>
          <w:rFonts w:hint="eastAsia" w:ascii="黑体" w:hAnsi="黑体" w:eastAsia="黑体"/>
          <w:snapToGrid w:val="0"/>
          <w:color w:val="auto"/>
          <w:szCs w:val="30"/>
        </w:rPr>
        <w:fldChar w:fldCharType="begin"/>
      </w:r>
      <w:r>
        <w:rPr>
          <w:rFonts w:hint="eastAsia" w:ascii="黑体" w:hAnsi="黑体" w:eastAsia="黑体"/>
          <w:snapToGrid w:val="0"/>
          <w:color w:val="auto"/>
          <w:szCs w:val="30"/>
        </w:rPr>
        <w:instrText xml:space="preserve"> HYPERLINK \l _Toc22263 </w:instrText>
      </w:r>
      <w:r>
        <w:rPr>
          <w:rFonts w:hint="eastAsia" w:ascii="黑体" w:hAnsi="黑体" w:eastAsia="黑体"/>
          <w:snapToGrid w:val="0"/>
          <w:color w:val="auto"/>
          <w:szCs w:val="30"/>
        </w:rPr>
        <w:fldChar w:fldCharType="separate"/>
      </w:r>
      <w:r>
        <w:rPr>
          <w:rFonts w:hint="eastAsia"/>
          <w:color w:val="auto"/>
          <w:lang w:val="en-US" w:eastAsia="zh-CN"/>
        </w:rPr>
        <w:t>附件15 柳州市生态环境局关于印发《柳州市柳江区新兴工业园产业发展规划（2020-2025年）—新兴工业集中区环境影响报告书》审查意见的函</w:t>
      </w:r>
      <w:r>
        <w:rPr>
          <w:color w:val="auto"/>
        </w:rPr>
        <w:tab/>
      </w:r>
      <w:r>
        <w:rPr>
          <w:color w:val="auto"/>
        </w:rPr>
        <w:fldChar w:fldCharType="begin"/>
      </w:r>
      <w:r>
        <w:rPr>
          <w:color w:val="auto"/>
        </w:rPr>
        <w:instrText xml:space="preserve"> PAGEREF _Toc22263 \h </w:instrText>
      </w:r>
      <w:r>
        <w:rPr>
          <w:color w:val="auto"/>
        </w:rPr>
        <w:fldChar w:fldCharType="separate"/>
      </w:r>
      <w:r>
        <w:rPr>
          <w:color w:val="auto"/>
        </w:rPr>
        <w:t>121</w:t>
      </w:r>
      <w:r>
        <w:rPr>
          <w:color w:val="auto"/>
        </w:rPr>
        <w:fldChar w:fldCharType="end"/>
      </w:r>
      <w:r>
        <w:rPr>
          <w:rFonts w:hint="eastAsia" w:ascii="黑体" w:hAnsi="黑体" w:eastAsia="黑体"/>
          <w:snapToGrid w:val="0"/>
          <w:color w:val="auto"/>
          <w:szCs w:val="30"/>
        </w:rPr>
        <w:fldChar w:fldCharType="end"/>
      </w:r>
    </w:p>
    <w:p w14:paraId="5E1AC54A">
      <w:pPr>
        <w:pStyle w:val="13"/>
        <w:outlineLvl w:val="0"/>
        <w:rPr>
          <w:rFonts w:hint="eastAsia" w:ascii="黑体" w:hAnsi="黑体" w:eastAsia="黑体"/>
          <w:snapToGrid w:val="0"/>
          <w:color w:val="auto"/>
          <w:szCs w:val="30"/>
        </w:rPr>
        <w:sectPr>
          <w:headerReference r:id="rId5" w:type="default"/>
          <w:footerReference r:id="rId6" w:type="default"/>
          <w:pgSz w:w="11906" w:h="16838"/>
          <w:pgMar w:top="1701" w:right="1531" w:bottom="1701" w:left="1531" w:header="851" w:footer="1077" w:gutter="0"/>
          <w:pgBorders>
            <w:top w:val="none" w:sz="0" w:space="0"/>
            <w:left w:val="none" w:sz="0" w:space="0"/>
            <w:bottom w:val="none" w:sz="0" w:space="0"/>
            <w:right w:val="none" w:sz="0" w:space="0"/>
          </w:pgBorders>
          <w:cols w:space="720" w:num="1"/>
          <w:docGrid w:linePitch="312" w:charSpace="0"/>
        </w:sectPr>
      </w:pPr>
      <w:r>
        <w:rPr>
          <w:rFonts w:hint="eastAsia" w:ascii="黑体" w:hAnsi="黑体" w:eastAsia="黑体"/>
          <w:snapToGrid w:val="0"/>
          <w:color w:val="auto"/>
          <w:szCs w:val="30"/>
        </w:rPr>
        <w:fldChar w:fldCharType="end"/>
      </w:r>
    </w:p>
    <w:p w14:paraId="440F9AF9">
      <w:pPr>
        <w:pStyle w:val="13"/>
        <w:spacing w:beforeAutospacing="0" w:afterAutospacing="0"/>
        <w:outlineLvl w:val="0"/>
        <w:rPr>
          <w:rFonts w:hint="eastAsia" w:ascii="黑体" w:hAnsi="黑体" w:eastAsia="黑体"/>
          <w:snapToGrid w:val="0"/>
          <w:color w:val="auto"/>
          <w:sz w:val="30"/>
          <w:szCs w:val="30"/>
        </w:rPr>
      </w:pPr>
      <w:bookmarkStart w:id="0" w:name="_Toc3817"/>
      <w:r>
        <w:rPr>
          <w:rFonts w:hint="eastAsia" w:ascii="黑体" w:hAnsi="黑体" w:eastAsia="黑体"/>
          <w:snapToGrid w:val="0"/>
          <w:color w:val="auto"/>
          <w:sz w:val="30"/>
          <w:szCs w:val="30"/>
        </w:rPr>
        <w:t>一、建设项目基本情况</w:t>
      </w:r>
      <w:bookmarkEnd w:id="0"/>
    </w:p>
    <w:tbl>
      <w:tblPr>
        <w:tblStyle w:val="16"/>
        <w:tblW w:w="88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900"/>
        <w:gridCol w:w="2119"/>
        <w:gridCol w:w="2212"/>
        <w:gridCol w:w="2639"/>
      </w:tblGrid>
      <w:tr w14:paraId="36C3E0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00" w:type="dxa"/>
            <w:tcMar>
              <w:top w:w="16" w:type="dxa"/>
              <w:left w:w="16" w:type="dxa"/>
              <w:right w:w="16" w:type="dxa"/>
            </w:tcMar>
            <w:vAlign w:val="center"/>
          </w:tcPr>
          <w:p w14:paraId="25B91C4C">
            <w:pPr>
              <w:adjustRightInd w:val="0"/>
              <w:snapToGrid w:val="0"/>
              <w:spacing w:line="240" w:lineRule="auto"/>
              <w:ind w:firstLine="0" w:firstLineChars="0"/>
              <w:jc w:val="center"/>
              <w:rPr>
                <w:color w:val="auto"/>
                <w:szCs w:val="21"/>
              </w:rPr>
            </w:pPr>
            <w:r>
              <w:rPr>
                <w:color w:val="auto"/>
                <w:szCs w:val="21"/>
              </w:rPr>
              <w:t>建设项目名称</w:t>
            </w:r>
          </w:p>
        </w:tc>
        <w:tc>
          <w:tcPr>
            <w:tcW w:w="6970" w:type="dxa"/>
            <w:gridSpan w:val="3"/>
            <w:vAlign w:val="center"/>
          </w:tcPr>
          <w:p w14:paraId="497F6148">
            <w:pPr>
              <w:adjustRightInd w:val="0"/>
              <w:snapToGrid w:val="0"/>
              <w:spacing w:line="240" w:lineRule="auto"/>
              <w:ind w:firstLine="0" w:firstLineChars="0"/>
              <w:jc w:val="center"/>
              <w:rPr>
                <w:color w:val="auto"/>
                <w:szCs w:val="21"/>
              </w:rPr>
            </w:pPr>
            <w:bookmarkStart w:id="1" w:name="_Hlk240895313"/>
            <w:r>
              <w:rPr>
                <w:rFonts w:hint="eastAsia"/>
                <w:color w:val="auto"/>
                <w:szCs w:val="21"/>
              </w:rPr>
              <w:t>广西佳厨调味食品有限公司复合调味料项目</w:t>
            </w:r>
            <w:bookmarkEnd w:id="1"/>
          </w:p>
        </w:tc>
      </w:tr>
      <w:tr w14:paraId="422AF7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00" w:type="dxa"/>
            <w:tcMar>
              <w:top w:w="16" w:type="dxa"/>
              <w:left w:w="16" w:type="dxa"/>
              <w:right w:w="16" w:type="dxa"/>
            </w:tcMar>
            <w:vAlign w:val="center"/>
          </w:tcPr>
          <w:p w14:paraId="138A2916">
            <w:pPr>
              <w:adjustRightInd w:val="0"/>
              <w:snapToGrid w:val="0"/>
              <w:spacing w:line="240" w:lineRule="auto"/>
              <w:ind w:firstLine="0" w:firstLineChars="0"/>
              <w:jc w:val="center"/>
              <w:rPr>
                <w:color w:val="auto"/>
                <w:szCs w:val="21"/>
              </w:rPr>
            </w:pPr>
            <w:r>
              <w:rPr>
                <w:color w:val="auto"/>
                <w:szCs w:val="21"/>
              </w:rPr>
              <w:t>项目代码</w:t>
            </w:r>
          </w:p>
        </w:tc>
        <w:tc>
          <w:tcPr>
            <w:tcW w:w="6970" w:type="dxa"/>
            <w:gridSpan w:val="3"/>
            <w:vAlign w:val="center"/>
          </w:tcPr>
          <w:p w14:paraId="3656FCBF">
            <w:pPr>
              <w:adjustRightInd w:val="0"/>
              <w:snapToGrid w:val="0"/>
              <w:spacing w:line="240" w:lineRule="auto"/>
              <w:ind w:firstLine="0" w:firstLineChars="0"/>
              <w:jc w:val="center"/>
              <w:rPr>
                <w:color w:val="auto"/>
                <w:szCs w:val="21"/>
              </w:rPr>
            </w:pPr>
            <w:r>
              <w:rPr>
                <w:rFonts w:hint="eastAsia"/>
                <w:color w:val="auto"/>
                <w:szCs w:val="21"/>
              </w:rPr>
              <w:t>2609-450206-04-01-392119</w:t>
            </w:r>
          </w:p>
        </w:tc>
      </w:tr>
      <w:tr w14:paraId="2C8C0A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00" w:type="dxa"/>
            <w:tcMar>
              <w:top w:w="16" w:type="dxa"/>
              <w:left w:w="16" w:type="dxa"/>
              <w:right w:w="16" w:type="dxa"/>
            </w:tcMar>
            <w:vAlign w:val="center"/>
          </w:tcPr>
          <w:p w14:paraId="05608BAC">
            <w:pPr>
              <w:adjustRightInd w:val="0"/>
              <w:snapToGrid w:val="0"/>
              <w:spacing w:line="240" w:lineRule="auto"/>
              <w:ind w:firstLine="0" w:firstLineChars="0"/>
              <w:jc w:val="center"/>
              <w:rPr>
                <w:color w:val="auto"/>
                <w:szCs w:val="21"/>
              </w:rPr>
            </w:pPr>
            <w:r>
              <w:rPr>
                <w:color w:val="auto"/>
                <w:szCs w:val="21"/>
              </w:rPr>
              <w:t>建设单位联系人</w:t>
            </w:r>
          </w:p>
        </w:tc>
        <w:tc>
          <w:tcPr>
            <w:tcW w:w="2119" w:type="dxa"/>
            <w:vAlign w:val="center"/>
          </w:tcPr>
          <w:p w14:paraId="63DAF3A3">
            <w:pPr>
              <w:adjustRightInd w:val="0"/>
              <w:snapToGrid w:val="0"/>
              <w:spacing w:line="240" w:lineRule="auto"/>
              <w:ind w:firstLine="0" w:firstLineChars="0"/>
              <w:jc w:val="center"/>
              <w:rPr>
                <w:rFonts w:hint="default" w:eastAsia="宋体"/>
                <w:color w:val="auto"/>
                <w:szCs w:val="21"/>
                <w:lang w:val="en-US" w:eastAsia="zh-CN"/>
              </w:rPr>
            </w:pPr>
            <w:r>
              <w:rPr>
                <w:rFonts w:hint="eastAsia"/>
                <w:color w:val="auto"/>
                <w:szCs w:val="21"/>
                <w:lang w:val="en-US" w:eastAsia="zh-CN"/>
              </w:rPr>
              <w:t>***</w:t>
            </w:r>
          </w:p>
        </w:tc>
        <w:tc>
          <w:tcPr>
            <w:tcW w:w="2212" w:type="dxa"/>
            <w:vAlign w:val="center"/>
          </w:tcPr>
          <w:p w14:paraId="61C1B038">
            <w:pPr>
              <w:adjustRightInd w:val="0"/>
              <w:snapToGrid w:val="0"/>
              <w:spacing w:line="240" w:lineRule="auto"/>
              <w:ind w:firstLine="0" w:firstLineChars="0"/>
              <w:jc w:val="center"/>
              <w:rPr>
                <w:color w:val="auto"/>
                <w:szCs w:val="21"/>
              </w:rPr>
            </w:pPr>
            <w:r>
              <w:rPr>
                <w:color w:val="auto"/>
                <w:szCs w:val="21"/>
              </w:rPr>
              <w:t>联系方式</w:t>
            </w:r>
          </w:p>
        </w:tc>
        <w:tc>
          <w:tcPr>
            <w:tcW w:w="2639" w:type="dxa"/>
            <w:vAlign w:val="center"/>
          </w:tcPr>
          <w:p w14:paraId="5E9245C9">
            <w:pPr>
              <w:adjustRightInd w:val="0"/>
              <w:snapToGrid w:val="0"/>
              <w:spacing w:line="240" w:lineRule="auto"/>
              <w:ind w:firstLine="0" w:firstLineChars="0"/>
              <w:jc w:val="center"/>
              <w:rPr>
                <w:rFonts w:hint="default" w:eastAsia="宋体"/>
                <w:color w:val="auto"/>
                <w:szCs w:val="21"/>
                <w:lang w:val="en-US" w:eastAsia="zh-CN"/>
              </w:rPr>
            </w:pPr>
            <w:r>
              <w:rPr>
                <w:rFonts w:hint="eastAsia"/>
                <w:color w:val="auto"/>
                <w:szCs w:val="21"/>
                <w:lang w:val="en-US" w:eastAsia="zh-CN"/>
              </w:rPr>
              <w:t>***</w:t>
            </w:r>
          </w:p>
        </w:tc>
      </w:tr>
      <w:tr w14:paraId="1389ED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00" w:type="dxa"/>
            <w:tcMar>
              <w:top w:w="16" w:type="dxa"/>
              <w:left w:w="16" w:type="dxa"/>
              <w:right w:w="16" w:type="dxa"/>
            </w:tcMar>
            <w:vAlign w:val="center"/>
          </w:tcPr>
          <w:p w14:paraId="1368CE57">
            <w:pPr>
              <w:adjustRightInd w:val="0"/>
              <w:snapToGrid w:val="0"/>
              <w:spacing w:line="240" w:lineRule="auto"/>
              <w:ind w:firstLine="0" w:firstLineChars="0"/>
              <w:jc w:val="center"/>
              <w:rPr>
                <w:color w:val="auto"/>
                <w:szCs w:val="21"/>
              </w:rPr>
            </w:pPr>
            <w:r>
              <w:rPr>
                <w:color w:val="auto"/>
                <w:szCs w:val="21"/>
              </w:rPr>
              <w:t>建设地点</w:t>
            </w:r>
          </w:p>
        </w:tc>
        <w:tc>
          <w:tcPr>
            <w:tcW w:w="6970" w:type="dxa"/>
            <w:gridSpan w:val="3"/>
            <w:vAlign w:val="center"/>
          </w:tcPr>
          <w:p w14:paraId="36C08A64">
            <w:pPr>
              <w:adjustRightInd w:val="0"/>
              <w:snapToGrid w:val="0"/>
              <w:spacing w:line="240" w:lineRule="auto"/>
              <w:ind w:firstLine="0" w:firstLineChars="0"/>
              <w:jc w:val="center"/>
              <w:rPr>
                <w:color w:val="auto"/>
                <w:szCs w:val="21"/>
              </w:rPr>
            </w:pPr>
            <w:r>
              <w:rPr>
                <w:rFonts w:hint="eastAsia"/>
                <w:color w:val="auto"/>
                <w:szCs w:val="21"/>
              </w:rPr>
              <w:t>柳州市柳江区新兴工业园利业路30号1-1</w:t>
            </w:r>
          </w:p>
        </w:tc>
      </w:tr>
      <w:tr w14:paraId="32F83F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00" w:type="dxa"/>
            <w:tcMar>
              <w:top w:w="16" w:type="dxa"/>
              <w:left w:w="16" w:type="dxa"/>
              <w:right w:w="16" w:type="dxa"/>
            </w:tcMar>
            <w:vAlign w:val="center"/>
          </w:tcPr>
          <w:p w14:paraId="2D618E0C">
            <w:pPr>
              <w:adjustRightInd w:val="0"/>
              <w:snapToGrid w:val="0"/>
              <w:spacing w:line="240" w:lineRule="auto"/>
              <w:ind w:firstLine="0" w:firstLineChars="0"/>
              <w:jc w:val="center"/>
              <w:rPr>
                <w:color w:val="auto"/>
                <w:szCs w:val="21"/>
              </w:rPr>
            </w:pPr>
            <w:r>
              <w:rPr>
                <w:color w:val="auto"/>
                <w:szCs w:val="21"/>
              </w:rPr>
              <w:t>地理坐标</w:t>
            </w:r>
          </w:p>
        </w:tc>
        <w:tc>
          <w:tcPr>
            <w:tcW w:w="6970" w:type="dxa"/>
            <w:gridSpan w:val="3"/>
            <w:vAlign w:val="center"/>
          </w:tcPr>
          <w:p w14:paraId="12932B7E">
            <w:pPr>
              <w:spacing w:line="240" w:lineRule="auto"/>
              <w:ind w:firstLine="0" w:firstLineChars="0"/>
              <w:jc w:val="center"/>
              <w:rPr>
                <w:color w:val="auto"/>
                <w:szCs w:val="21"/>
              </w:rPr>
            </w:pPr>
            <w:r>
              <w:rPr>
                <w:color w:val="auto"/>
                <w:szCs w:val="21"/>
              </w:rPr>
              <w:t>东经109°25′19.682″，北纬24°11′33.502″</w:t>
            </w:r>
          </w:p>
        </w:tc>
      </w:tr>
      <w:tr w14:paraId="3FE132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900" w:type="dxa"/>
            <w:tcMar>
              <w:top w:w="16" w:type="dxa"/>
              <w:left w:w="16" w:type="dxa"/>
              <w:right w:w="16" w:type="dxa"/>
            </w:tcMar>
            <w:vAlign w:val="center"/>
          </w:tcPr>
          <w:p w14:paraId="78973A4C">
            <w:pPr>
              <w:adjustRightInd w:val="0"/>
              <w:snapToGrid w:val="0"/>
              <w:spacing w:line="240" w:lineRule="auto"/>
              <w:ind w:firstLine="0" w:firstLineChars="0"/>
              <w:jc w:val="center"/>
              <w:rPr>
                <w:color w:val="auto"/>
                <w:szCs w:val="21"/>
              </w:rPr>
            </w:pPr>
            <w:r>
              <w:rPr>
                <w:color w:val="auto"/>
                <w:szCs w:val="21"/>
              </w:rPr>
              <w:t>国民经济</w:t>
            </w:r>
          </w:p>
          <w:p w14:paraId="5CA46361">
            <w:pPr>
              <w:adjustRightInd w:val="0"/>
              <w:snapToGrid w:val="0"/>
              <w:spacing w:line="240" w:lineRule="auto"/>
              <w:ind w:firstLine="0" w:firstLineChars="0"/>
              <w:jc w:val="center"/>
              <w:rPr>
                <w:color w:val="auto"/>
                <w:szCs w:val="21"/>
              </w:rPr>
            </w:pPr>
            <w:r>
              <w:rPr>
                <w:color w:val="auto"/>
                <w:szCs w:val="21"/>
              </w:rPr>
              <w:t>行业类别</w:t>
            </w:r>
          </w:p>
        </w:tc>
        <w:tc>
          <w:tcPr>
            <w:tcW w:w="2119" w:type="dxa"/>
            <w:vAlign w:val="center"/>
          </w:tcPr>
          <w:p w14:paraId="29855E20">
            <w:pPr>
              <w:adjustRightInd w:val="0"/>
              <w:snapToGrid w:val="0"/>
              <w:spacing w:line="240" w:lineRule="auto"/>
              <w:ind w:firstLine="0" w:firstLineChars="0"/>
              <w:jc w:val="center"/>
              <w:rPr>
                <w:color w:val="auto"/>
                <w:szCs w:val="21"/>
              </w:rPr>
            </w:pPr>
            <w:r>
              <w:rPr>
                <w:rFonts w:hint="eastAsia"/>
                <w:color w:val="auto"/>
                <w:szCs w:val="21"/>
              </w:rPr>
              <w:t>C1469 其他调味品、发酵制品制造</w:t>
            </w:r>
          </w:p>
        </w:tc>
        <w:tc>
          <w:tcPr>
            <w:tcW w:w="2212" w:type="dxa"/>
            <w:vAlign w:val="center"/>
          </w:tcPr>
          <w:p w14:paraId="7C78BBF3">
            <w:pPr>
              <w:adjustRightInd w:val="0"/>
              <w:snapToGrid w:val="0"/>
              <w:spacing w:line="240" w:lineRule="auto"/>
              <w:ind w:firstLine="0" w:firstLineChars="0"/>
              <w:jc w:val="center"/>
              <w:rPr>
                <w:color w:val="auto"/>
                <w:szCs w:val="21"/>
              </w:rPr>
            </w:pPr>
            <w:bookmarkStart w:id="2" w:name="_Hlk49843745"/>
            <w:r>
              <w:rPr>
                <w:color w:val="auto"/>
                <w:szCs w:val="21"/>
              </w:rPr>
              <w:t>建设项目</w:t>
            </w:r>
          </w:p>
          <w:p w14:paraId="3ECF60AC">
            <w:pPr>
              <w:adjustRightInd w:val="0"/>
              <w:snapToGrid w:val="0"/>
              <w:spacing w:line="240" w:lineRule="auto"/>
              <w:ind w:firstLine="0" w:firstLineChars="0"/>
              <w:jc w:val="center"/>
              <w:rPr>
                <w:color w:val="auto"/>
                <w:szCs w:val="21"/>
              </w:rPr>
            </w:pPr>
            <w:r>
              <w:rPr>
                <w:color w:val="auto"/>
                <w:szCs w:val="21"/>
              </w:rPr>
              <w:t>行业类别</w:t>
            </w:r>
            <w:bookmarkEnd w:id="2"/>
          </w:p>
        </w:tc>
        <w:tc>
          <w:tcPr>
            <w:tcW w:w="2639" w:type="dxa"/>
            <w:vAlign w:val="center"/>
          </w:tcPr>
          <w:p w14:paraId="34BC8904">
            <w:pPr>
              <w:adjustRightInd w:val="0"/>
              <w:snapToGrid w:val="0"/>
              <w:spacing w:line="240" w:lineRule="auto"/>
              <w:ind w:firstLine="0" w:firstLineChars="0"/>
              <w:jc w:val="left"/>
              <w:rPr>
                <w:color w:val="auto"/>
              </w:rPr>
            </w:pPr>
            <w:r>
              <w:rPr>
                <w:rFonts w:hint="eastAsia"/>
                <w:color w:val="auto"/>
                <w:szCs w:val="21"/>
              </w:rPr>
              <w:t>十一、食品制造业14—调味品、发酵制品制造146</w:t>
            </w:r>
          </w:p>
        </w:tc>
      </w:tr>
      <w:tr w14:paraId="1667DA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900" w:type="dxa"/>
            <w:tcMar>
              <w:top w:w="16" w:type="dxa"/>
              <w:left w:w="16" w:type="dxa"/>
              <w:right w:w="16" w:type="dxa"/>
            </w:tcMar>
            <w:vAlign w:val="center"/>
          </w:tcPr>
          <w:p w14:paraId="3D67905C">
            <w:pPr>
              <w:adjustRightInd w:val="0"/>
              <w:snapToGrid w:val="0"/>
              <w:spacing w:line="240" w:lineRule="auto"/>
              <w:ind w:firstLine="0" w:firstLineChars="0"/>
              <w:jc w:val="center"/>
              <w:rPr>
                <w:color w:val="auto"/>
                <w:szCs w:val="21"/>
              </w:rPr>
            </w:pPr>
            <w:r>
              <w:rPr>
                <w:color w:val="auto"/>
                <w:szCs w:val="21"/>
              </w:rPr>
              <w:t>建设性质</w:t>
            </w:r>
          </w:p>
        </w:tc>
        <w:tc>
          <w:tcPr>
            <w:tcW w:w="2119" w:type="dxa"/>
            <w:vAlign w:val="center"/>
          </w:tcPr>
          <w:p w14:paraId="4919ECBE">
            <w:pPr>
              <w:spacing w:line="240" w:lineRule="auto"/>
              <w:ind w:firstLine="0" w:firstLineChars="0"/>
              <w:jc w:val="left"/>
              <w:rPr>
                <w:color w:val="auto"/>
                <w:szCs w:val="21"/>
              </w:rPr>
            </w:pPr>
            <w:r>
              <w:rPr>
                <w:rFonts w:hint="eastAsia"/>
                <w:color w:val="auto"/>
                <w:szCs w:val="21"/>
              </w:rPr>
              <w:t>☑</w:t>
            </w:r>
            <w:r>
              <w:rPr>
                <w:color w:val="auto"/>
                <w:szCs w:val="21"/>
              </w:rPr>
              <w:t>新建</w:t>
            </w:r>
          </w:p>
          <w:p w14:paraId="029C0E44">
            <w:pPr>
              <w:spacing w:line="240" w:lineRule="auto"/>
              <w:ind w:firstLine="0" w:firstLineChars="0"/>
              <w:jc w:val="left"/>
              <w:rPr>
                <w:color w:val="auto"/>
                <w:szCs w:val="21"/>
              </w:rPr>
            </w:pPr>
            <w:r>
              <w:rPr>
                <w:color w:val="auto"/>
                <w:szCs w:val="21"/>
              </w:rPr>
              <w:t>□改建</w:t>
            </w:r>
          </w:p>
          <w:p w14:paraId="37DC06FE">
            <w:pPr>
              <w:spacing w:line="240" w:lineRule="auto"/>
              <w:ind w:firstLine="0" w:firstLineChars="0"/>
              <w:jc w:val="left"/>
              <w:rPr>
                <w:color w:val="auto"/>
                <w:szCs w:val="21"/>
              </w:rPr>
            </w:pPr>
            <w:r>
              <w:rPr>
                <w:color w:val="auto"/>
                <w:szCs w:val="21"/>
              </w:rPr>
              <w:t>□扩建</w:t>
            </w:r>
          </w:p>
          <w:p w14:paraId="0F051246">
            <w:pPr>
              <w:spacing w:line="240" w:lineRule="auto"/>
              <w:ind w:firstLine="0" w:firstLineChars="0"/>
              <w:jc w:val="left"/>
              <w:rPr>
                <w:color w:val="auto"/>
                <w:szCs w:val="21"/>
              </w:rPr>
            </w:pPr>
            <w:r>
              <w:rPr>
                <w:color w:val="auto"/>
                <w:szCs w:val="21"/>
              </w:rPr>
              <w:t>□技术改造</w:t>
            </w:r>
          </w:p>
        </w:tc>
        <w:tc>
          <w:tcPr>
            <w:tcW w:w="2212" w:type="dxa"/>
            <w:vAlign w:val="center"/>
          </w:tcPr>
          <w:p w14:paraId="509AC34C">
            <w:pPr>
              <w:adjustRightInd w:val="0"/>
              <w:snapToGrid w:val="0"/>
              <w:spacing w:line="240" w:lineRule="auto"/>
              <w:ind w:firstLine="0" w:firstLineChars="0"/>
              <w:jc w:val="center"/>
              <w:rPr>
                <w:color w:val="auto"/>
                <w:szCs w:val="21"/>
              </w:rPr>
            </w:pPr>
            <w:r>
              <w:rPr>
                <w:color w:val="auto"/>
                <w:szCs w:val="21"/>
              </w:rPr>
              <w:t>建设项目</w:t>
            </w:r>
          </w:p>
          <w:p w14:paraId="5C431978">
            <w:pPr>
              <w:adjustRightInd w:val="0"/>
              <w:snapToGrid w:val="0"/>
              <w:spacing w:line="240" w:lineRule="auto"/>
              <w:ind w:firstLine="0" w:firstLineChars="0"/>
              <w:jc w:val="center"/>
              <w:rPr>
                <w:color w:val="auto"/>
                <w:szCs w:val="21"/>
              </w:rPr>
            </w:pPr>
            <w:r>
              <w:rPr>
                <w:color w:val="auto"/>
                <w:szCs w:val="21"/>
              </w:rPr>
              <w:t>申报情形</w:t>
            </w:r>
          </w:p>
        </w:tc>
        <w:tc>
          <w:tcPr>
            <w:tcW w:w="2639" w:type="dxa"/>
            <w:vAlign w:val="center"/>
          </w:tcPr>
          <w:p w14:paraId="1534E8CA">
            <w:pPr>
              <w:spacing w:line="240" w:lineRule="auto"/>
              <w:ind w:firstLine="0" w:firstLineChars="0"/>
              <w:jc w:val="left"/>
              <w:rPr>
                <w:color w:val="auto"/>
                <w:szCs w:val="21"/>
              </w:rPr>
            </w:pPr>
            <w:r>
              <w:rPr>
                <w:color w:val="auto"/>
                <w:szCs w:val="21"/>
              </w:rPr>
              <w:sym w:font="Wingdings 2" w:char="0052"/>
            </w:r>
            <w:r>
              <w:rPr>
                <w:color w:val="auto"/>
                <w:szCs w:val="21"/>
              </w:rPr>
              <w:t xml:space="preserve">首次申报项目             </w:t>
            </w:r>
          </w:p>
          <w:p w14:paraId="29D338D8">
            <w:pPr>
              <w:spacing w:line="240" w:lineRule="auto"/>
              <w:ind w:firstLine="0" w:firstLineChars="0"/>
              <w:jc w:val="left"/>
              <w:rPr>
                <w:color w:val="auto"/>
                <w:szCs w:val="21"/>
              </w:rPr>
            </w:pPr>
            <w:r>
              <w:rPr>
                <w:color w:val="auto"/>
                <w:szCs w:val="21"/>
              </w:rPr>
              <w:t>□不予批准后再次申报项目</w:t>
            </w:r>
          </w:p>
          <w:p w14:paraId="2738776F">
            <w:pPr>
              <w:spacing w:line="240" w:lineRule="auto"/>
              <w:ind w:firstLine="0" w:firstLineChars="0"/>
              <w:jc w:val="left"/>
              <w:rPr>
                <w:color w:val="auto"/>
                <w:szCs w:val="21"/>
              </w:rPr>
            </w:pPr>
            <w:r>
              <w:rPr>
                <w:color w:val="auto"/>
                <w:szCs w:val="21"/>
              </w:rPr>
              <w:sym w:font="Wingdings 2" w:char="00A3"/>
            </w:r>
            <w:r>
              <w:rPr>
                <w:color w:val="auto"/>
                <w:szCs w:val="21"/>
              </w:rPr>
              <w:t xml:space="preserve">超五年重新审核项目     </w:t>
            </w:r>
          </w:p>
          <w:p w14:paraId="3C4AA34F">
            <w:pPr>
              <w:spacing w:line="240" w:lineRule="auto"/>
              <w:ind w:firstLine="0" w:firstLineChars="0"/>
              <w:jc w:val="left"/>
              <w:rPr>
                <w:color w:val="auto"/>
                <w:szCs w:val="21"/>
              </w:rPr>
            </w:pPr>
            <w:r>
              <w:rPr>
                <w:color w:val="auto"/>
                <w:szCs w:val="21"/>
              </w:rPr>
              <w:t>□重大变动重新报批项目</w:t>
            </w:r>
          </w:p>
        </w:tc>
      </w:tr>
      <w:tr w14:paraId="5D49EF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900" w:type="dxa"/>
            <w:tcMar>
              <w:top w:w="16" w:type="dxa"/>
              <w:left w:w="16" w:type="dxa"/>
              <w:right w:w="16" w:type="dxa"/>
            </w:tcMar>
            <w:vAlign w:val="center"/>
          </w:tcPr>
          <w:p w14:paraId="292AC1D4">
            <w:pPr>
              <w:adjustRightInd w:val="0"/>
              <w:snapToGrid w:val="0"/>
              <w:spacing w:line="240" w:lineRule="auto"/>
              <w:ind w:firstLine="0" w:firstLineChars="0"/>
              <w:jc w:val="center"/>
              <w:rPr>
                <w:color w:val="auto"/>
                <w:szCs w:val="21"/>
              </w:rPr>
            </w:pPr>
            <w:r>
              <w:rPr>
                <w:color w:val="auto"/>
                <w:szCs w:val="21"/>
              </w:rPr>
              <w:t>项目审批（核准/</w:t>
            </w:r>
          </w:p>
          <w:p w14:paraId="685A99AF">
            <w:pPr>
              <w:adjustRightInd w:val="0"/>
              <w:snapToGrid w:val="0"/>
              <w:spacing w:line="240" w:lineRule="auto"/>
              <w:ind w:firstLine="0" w:firstLineChars="0"/>
              <w:jc w:val="center"/>
              <w:rPr>
                <w:color w:val="auto"/>
                <w:szCs w:val="21"/>
              </w:rPr>
            </w:pPr>
            <w:r>
              <w:rPr>
                <w:color w:val="auto"/>
                <w:szCs w:val="21"/>
              </w:rPr>
              <w:t>备案）部门（选填）</w:t>
            </w:r>
          </w:p>
        </w:tc>
        <w:tc>
          <w:tcPr>
            <w:tcW w:w="2119" w:type="dxa"/>
            <w:vAlign w:val="center"/>
          </w:tcPr>
          <w:p w14:paraId="76C6CD33">
            <w:pPr>
              <w:adjustRightInd w:val="0"/>
              <w:snapToGrid w:val="0"/>
              <w:spacing w:line="240" w:lineRule="auto"/>
              <w:ind w:firstLine="0" w:firstLineChars="0"/>
              <w:jc w:val="center"/>
              <w:rPr>
                <w:color w:val="auto"/>
                <w:szCs w:val="21"/>
              </w:rPr>
            </w:pPr>
            <w:r>
              <w:rPr>
                <w:rFonts w:hint="eastAsia"/>
                <w:color w:val="auto"/>
                <w:szCs w:val="21"/>
              </w:rPr>
              <w:t>柳州市柳江区发展和改革局</w:t>
            </w:r>
          </w:p>
        </w:tc>
        <w:tc>
          <w:tcPr>
            <w:tcW w:w="2212" w:type="dxa"/>
            <w:vAlign w:val="center"/>
          </w:tcPr>
          <w:p w14:paraId="43BB1CAE">
            <w:pPr>
              <w:adjustRightInd w:val="0"/>
              <w:snapToGrid w:val="0"/>
              <w:spacing w:line="240" w:lineRule="auto"/>
              <w:ind w:firstLine="0" w:firstLineChars="0"/>
              <w:jc w:val="center"/>
              <w:rPr>
                <w:color w:val="auto"/>
                <w:szCs w:val="21"/>
              </w:rPr>
            </w:pPr>
            <w:r>
              <w:rPr>
                <w:color w:val="auto"/>
                <w:szCs w:val="21"/>
              </w:rPr>
              <w:t>项目审批（核准/</w:t>
            </w:r>
          </w:p>
          <w:p w14:paraId="7C48227D">
            <w:pPr>
              <w:adjustRightInd w:val="0"/>
              <w:snapToGrid w:val="0"/>
              <w:spacing w:line="240" w:lineRule="auto"/>
              <w:ind w:firstLine="0" w:firstLineChars="0"/>
              <w:jc w:val="center"/>
              <w:rPr>
                <w:color w:val="auto"/>
                <w:szCs w:val="21"/>
              </w:rPr>
            </w:pPr>
            <w:r>
              <w:rPr>
                <w:color w:val="auto"/>
                <w:szCs w:val="21"/>
              </w:rPr>
              <w:t>备案）文号（选填）</w:t>
            </w:r>
          </w:p>
        </w:tc>
        <w:tc>
          <w:tcPr>
            <w:tcW w:w="2639" w:type="dxa"/>
            <w:vAlign w:val="center"/>
          </w:tcPr>
          <w:p w14:paraId="76600919">
            <w:pPr>
              <w:adjustRightInd w:val="0"/>
              <w:snapToGrid w:val="0"/>
              <w:spacing w:line="240" w:lineRule="auto"/>
              <w:ind w:firstLine="0" w:firstLineChars="0"/>
              <w:jc w:val="center"/>
              <w:rPr>
                <w:color w:val="auto"/>
                <w:szCs w:val="21"/>
              </w:rPr>
            </w:pPr>
            <w:r>
              <w:rPr>
                <w:rFonts w:hint="eastAsia"/>
                <w:color w:val="auto"/>
                <w:szCs w:val="21"/>
              </w:rPr>
              <w:t>/</w:t>
            </w:r>
          </w:p>
        </w:tc>
      </w:tr>
      <w:tr w14:paraId="3BFA05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00" w:type="dxa"/>
            <w:tcMar>
              <w:top w:w="16" w:type="dxa"/>
              <w:left w:w="16" w:type="dxa"/>
              <w:right w:w="16" w:type="dxa"/>
            </w:tcMar>
            <w:vAlign w:val="center"/>
          </w:tcPr>
          <w:p w14:paraId="786E5A79">
            <w:pPr>
              <w:adjustRightInd w:val="0"/>
              <w:snapToGrid w:val="0"/>
              <w:spacing w:line="240" w:lineRule="auto"/>
              <w:ind w:firstLine="0" w:firstLineChars="0"/>
              <w:jc w:val="center"/>
              <w:rPr>
                <w:color w:val="auto"/>
                <w:szCs w:val="21"/>
              </w:rPr>
            </w:pPr>
            <w:r>
              <w:rPr>
                <w:color w:val="auto"/>
                <w:szCs w:val="21"/>
              </w:rPr>
              <w:t>总投资（万元）</w:t>
            </w:r>
          </w:p>
        </w:tc>
        <w:tc>
          <w:tcPr>
            <w:tcW w:w="2119" w:type="dxa"/>
            <w:vAlign w:val="center"/>
          </w:tcPr>
          <w:p w14:paraId="3C91DDAD">
            <w:pPr>
              <w:adjustRightInd w:val="0"/>
              <w:snapToGrid w:val="0"/>
              <w:spacing w:line="240" w:lineRule="auto"/>
              <w:ind w:firstLine="0" w:firstLineChars="0"/>
              <w:jc w:val="center"/>
              <w:rPr>
                <w:color w:val="auto"/>
                <w:szCs w:val="21"/>
              </w:rPr>
            </w:pPr>
            <w:r>
              <w:rPr>
                <w:rFonts w:hint="eastAsia"/>
                <w:color w:val="auto"/>
                <w:szCs w:val="21"/>
              </w:rPr>
              <w:t>200</w:t>
            </w:r>
          </w:p>
        </w:tc>
        <w:tc>
          <w:tcPr>
            <w:tcW w:w="2212" w:type="dxa"/>
            <w:tcMar>
              <w:top w:w="16" w:type="dxa"/>
              <w:left w:w="16" w:type="dxa"/>
              <w:right w:w="16" w:type="dxa"/>
            </w:tcMar>
            <w:vAlign w:val="center"/>
          </w:tcPr>
          <w:p w14:paraId="42F20A4B">
            <w:pPr>
              <w:adjustRightInd w:val="0"/>
              <w:snapToGrid w:val="0"/>
              <w:spacing w:line="240" w:lineRule="auto"/>
              <w:ind w:firstLine="0" w:firstLineChars="0"/>
              <w:jc w:val="center"/>
              <w:rPr>
                <w:color w:val="auto"/>
                <w:szCs w:val="21"/>
              </w:rPr>
            </w:pPr>
            <w:r>
              <w:rPr>
                <w:color w:val="auto"/>
                <w:szCs w:val="21"/>
              </w:rPr>
              <w:t>环保投资（万元）</w:t>
            </w:r>
          </w:p>
        </w:tc>
        <w:tc>
          <w:tcPr>
            <w:tcW w:w="2639" w:type="dxa"/>
            <w:vAlign w:val="center"/>
          </w:tcPr>
          <w:p w14:paraId="5A81ADEB">
            <w:pPr>
              <w:adjustRightInd w:val="0"/>
              <w:snapToGrid w:val="0"/>
              <w:spacing w:line="240" w:lineRule="auto"/>
              <w:ind w:firstLine="0" w:firstLineChars="0"/>
              <w:jc w:val="center"/>
              <w:rPr>
                <w:color w:val="auto"/>
                <w:szCs w:val="21"/>
              </w:rPr>
            </w:pPr>
            <w:r>
              <w:rPr>
                <w:rFonts w:hint="eastAsia"/>
                <w:color w:val="auto"/>
                <w:szCs w:val="21"/>
                <w:lang w:val="en-US" w:eastAsia="zh-CN"/>
              </w:rPr>
              <w:t>3</w:t>
            </w:r>
            <w:r>
              <w:rPr>
                <w:rFonts w:hint="eastAsia"/>
                <w:color w:val="auto"/>
                <w:szCs w:val="21"/>
              </w:rPr>
              <w:t>8.5</w:t>
            </w:r>
          </w:p>
        </w:tc>
      </w:tr>
      <w:tr w14:paraId="79AC9C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00" w:type="dxa"/>
            <w:tcMar>
              <w:top w:w="16" w:type="dxa"/>
              <w:left w:w="16" w:type="dxa"/>
              <w:right w:w="16" w:type="dxa"/>
            </w:tcMar>
            <w:vAlign w:val="center"/>
          </w:tcPr>
          <w:p w14:paraId="01C27B71">
            <w:pPr>
              <w:adjustRightInd w:val="0"/>
              <w:snapToGrid w:val="0"/>
              <w:spacing w:line="240" w:lineRule="auto"/>
              <w:ind w:firstLine="0" w:firstLineChars="0"/>
              <w:jc w:val="center"/>
              <w:rPr>
                <w:color w:val="auto"/>
                <w:szCs w:val="21"/>
              </w:rPr>
            </w:pPr>
            <w:r>
              <w:rPr>
                <w:color w:val="auto"/>
                <w:szCs w:val="21"/>
              </w:rPr>
              <w:t>环保投资占比（%）</w:t>
            </w:r>
          </w:p>
        </w:tc>
        <w:tc>
          <w:tcPr>
            <w:tcW w:w="2119" w:type="dxa"/>
            <w:vAlign w:val="center"/>
          </w:tcPr>
          <w:p w14:paraId="1D065AD2">
            <w:pPr>
              <w:adjustRightInd w:val="0"/>
              <w:snapToGrid w:val="0"/>
              <w:spacing w:line="240" w:lineRule="auto"/>
              <w:ind w:firstLine="0" w:firstLineChars="0"/>
              <w:jc w:val="center"/>
              <w:rPr>
                <w:rFonts w:hint="default" w:eastAsia="宋体"/>
                <w:color w:val="auto"/>
                <w:szCs w:val="21"/>
                <w:lang w:val="en-US" w:eastAsia="zh-CN"/>
              </w:rPr>
            </w:pPr>
            <w:r>
              <w:rPr>
                <w:rFonts w:hint="eastAsia"/>
                <w:color w:val="auto"/>
                <w:szCs w:val="21"/>
                <w:lang w:val="en-US" w:eastAsia="zh-CN"/>
              </w:rPr>
              <w:t>19.25</w:t>
            </w:r>
          </w:p>
        </w:tc>
        <w:tc>
          <w:tcPr>
            <w:tcW w:w="2212" w:type="dxa"/>
            <w:tcMar>
              <w:top w:w="16" w:type="dxa"/>
              <w:left w:w="16" w:type="dxa"/>
              <w:right w:w="16" w:type="dxa"/>
            </w:tcMar>
            <w:vAlign w:val="center"/>
          </w:tcPr>
          <w:p w14:paraId="17D6E9AF">
            <w:pPr>
              <w:adjustRightInd w:val="0"/>
              <w:snapToGrid w:val="0"/>
              <w:spacing w:line="240" w:lineRule="auto"/>
              <w:ind w:firstLine="0" w:firstLineChars="0"/>
              <w:jc w:val="center"/>
              <w:rPr>
                <w:color w:val="auto"/>
                <w:szCs w:val="21"/>
              </w:rPr>
            </w:pPr>
            <w:r>
              <w:rPr>
                <w:color w:val="auto"/>
                <w:szCs w:val="21"/>
              </w:rPr>
              <w:t>施工工期</w:t>
            </w:r>
          </w:p>
        </w:tc>
        <w:tc>
          <w:tcPr>
            <w:tcW w:w="2639" w:type="dxa"/>
            <w:vAlign w:val="center"/>
          </w:tcPr>
          <w:p w14:paraId="2ACF9C51">
            <w:pPr>
              <w:adjustRightInd w:val="0"/>
              <w:snapToGrid w:val="0"/>
              <w:spacing w:line="240" w:lineRule="auto"/>
              <w:ind w:firstLine="0" w:firstLineChars="0"/>
              <w:jc w:val="center"/>
              <w:rPr>
                <w:color w:val="auto"/>
                <w:szCs w:val="21"/>
              </w:rPr>
            </w:pPr>
            <w:r>
              <w:rPr>
                <w:rFonts w:hint="eastAsia"/>
                <w:color w:val="auto"/>
                <w:szCs w:val="21"/>
              </w:rPr>
              <w:t>/</w:t>
            </w:r>
          </w:p>
        </w:tc>
      </w:tr>
      <w:tr w14:paraId="7879EE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00" w:type="dxa"/>
            <w:tcMar>
              <w:top w:w="16" w:type="dxa"/>
              <w:left w:w="16" w:type="dxa"/>
              <w:right w:w="16" w:type="dxa"/>
            </w:tcMar>
            <w:vAlign w:val="center"/>
          </w:tcPr>
          <w:p w14:paraId="6E037D19">
            <w:pPr>
              <w:adjustRightInd w:val="0"/>
              <w:snapToGrid w:val="0"/>
              <w:spacing w:line="240" w:lineRule="auto"/>
              <w:ind w:firstLine="0" w:firstLineChars="0"/>
              <w:jc w:val="center"/>
              <w:rPr>
                <w:color w:val="auto"/>
                <w:szCs w:val="21"/>
              </w:rPr>
            </w:pPr>
            <w:r>
              <w:rPr>
                <w:color w:val="auto"/>
                <w:szCs w:val="21"/>
              </w:rPr>
              <w:t>是否开工建设</w:t>
            </w:r>
          </w:p>
        </w:tc>
        <w:tc>
          <w:tcPr>
            <w:tcW w:w="2119" w:type="dxa"/>
            <w:vAlign w:val="center"/>
          </w:tcPr>
          <w:p w14:paraId="16E329C9">
            <w:pPr>
              <w:adjustRightInd w:val="0"/>
              <w:snapToGrid w:val="0"/>
              <w:spacing w:line="240" w:lineRule="auto"/>
              <w:ind w:firstLine="0" w:firstLineChars="0"/>
              <w:rPr>
                <w:color w:val="auto"/>
                <w:szCs w:val="21"/>
              </w:rPr>
            </w:pPr>
            <w:r>
              <w:rPr>
                <w:color w:val="auto"/>
                <w:szCs w:val="21"/>
              </w:rPr>
              <w:sym w:font="Wingdings 2" w:char="00A3"/>
            </w:r>
            <w:r>
              <w:rPr>
                <w:color w:val="auto"/>
                <w:szCs w:val="21"/>
              </w:rPr>
              <w:t>否</w:t>
            </w:r>
          </w:p>
          <w:p w14:paraId="23C6C7AF">
            <w:pPr>
              <w:adjustRightInd w:val="0"/>
              <w:snapToGrid w:val="0"/>
              <w:spacing w:line="240" w:lineRule="auto"/>
              <w:ind w:firstLine="0" w:firstLineChars="0"/>
              <w:rPr>
                <w:rFonts w:hint="default"/>
                <w:color w:val="auto"/>
                <w:szCs w:val="21"/>
                <w:lang w:val="en-US"/>
              </w:rPr>
            </w:pPr>
            <w:r>
              <w:rPr>
                <w:color w:val="auto"/>
                <w:szCs w:val="21"/>
              </w:rPr>
              <w:sym w:font="Wingdings 2" w:char="0052"/>
            </w:r>
            <w:r>
              <w:rPr>
                <w:color w:val="auto"/>
                <w:szCs w:val="21"/>
              </w:rPr>
              <w:t>是：</w:t>
            </w:r>
            <w:r>
              <w:rPr>
                <w:rFonts w:hint="eastAsia"/>
                <w:color w:val="auto"/>
                <w:szCs w:val="21"/>
                <w:u w:val="single"/>
              </w:rPr>
              <w:t>已建成，</w:t>
            </w:r>
            <w:r>
              <w:rPr>
                <w:rFonts w:hint="eastAsia"/>
                <w:color w:val="auto"/>
                <w:szCs w:val="21"/>
                <w:u w:val="single"/>
                <w:lang w:val="en-US" w:eastAsia="zh-CN"/>
              </w:rPr>
              <w:t>目前已处罚</w:t>
            </w:r>
          </w:p>
        </w:tc>
        <w:tc>
          <w:tcPr>
            <w:tcW w:w="2212" w:type="dxa"/>
            <w:tcMar>
              <w:top w:w="16" w:type="dxa"/>
              <w:left w:w="16" w:type="dxa"/>
              <w:right w:w="16" w:type="dxa"/>
            </w:tcMar>
            <w:vAlign w:val="center"/>
          </w:tcPr>
          <w:p w14:paraId="1BE738E0">
            <w:pPr>
              <w:adjustRightInd w:val="0"/>
              <w:snapToGrid w:val="0"/>
              <w:spacing w:line="240" w:lineRule="auto"/>
              <w:ind w:firstLine="0" w:firstLineChars="0"/>
              <w:jc w:val="center"/>
              <w:rPr>
                <w:color w:val="auto"/>
                <w:spacing w:val="-6"/>
                <w:szCs w:val="21"/>
              </w:rPr>
            </w:pPr>
            <w:r>
              <w:rPr>
                <w:color w:val="auto"/>
                <w:spacing w:val="-6"/>
                <w:szCs w:val="21"/>
              </w:rPr>
              <w:t>用地（用海）</w:t>
            </w:r>
          </w:p>
          <w:p w14:paraId="107DBAFA">
            <w:pPr>
              <w:adjustRightInd w:val="0"/>
              <w:snapToGrid w:val="0"/>
              <w:spacing w:line="240" w:lineRule="auto"/>
              <w:ind w:firstLine="0" w:firstLineChars="0"/>
              <w:jc w:val="center"/>
              <w:rPr>
                <w:color w:val="auto"/>
                <w:szCs w:val="21"/>
              </w:rPr>
            </w:pPr>
            <w:r>
              <w:rPr>
                <w:color w:val="auto"/>
                <w:spacing w:val="-6"/>
                <w:szCs w:val="21"/>
              </w:rPr>
              <w:t>面积（m</w:t>
            </w:r>
            <w:r>
              <w:rPr>
                <w:color w:val="auto"/>
                <w:spacing w:val="-6"/>
                <w:szCs w:val="21"/>
                <w:vertAlign w:val="superscript"/>
              </w:rPr>
              <w:t>2</w:t>
            </w:r>
            <w:r>
              <w:rPr>
                <w:color w:val="auto"/>
                <w:spacing w:val="-6"/>
                <w:szCs w:val="21"/>
              </w:rPr>
              <w:t>）</w:t>
            </w:r>
          </w:p>
        </w:tc>
        <w:tc>
          <w:tcPr>
            <w:tcW w:w="2639" w:type="dxa"/>
            <w:vAlign w:val="center"/>
          </w:tcPr>
          <w:p w14:paraId="427AB4E1">
            <w:pPr>
              <w:adjustRightInd w:val="0"/>
              <w:snapToGrid w:val="0"/>
              <w:spacing w:line="240" w:lineRule="auto"/>
              <w:ind w:firstLine="0" w:firstLineChars="0"/>
              <w:jc w:val="center"/>
              <w:rPr>
                <w:color w:val="auto"/>
                <w:szCs w:val="21"/>
              </w:rPr>
            </w:pPr>
            <w:r>
              <w:rPr>
                <w:rFonts w:hint="eastAsia"/>
                <w:color w:val="auto"/>
                <w:szCs w:val="21"/>
              </w:rPr>
              <w:t>3028</w:t>
            </w:r>
          </w:p>
        </w:tc>
      </w:tr>
      <w:tr w14:paraId="232270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00" w:type="dxa"/>
            <w:vAlign w:val="center"/>
          </w:tcPr>
          <w:p w14:paraId="78AF8D5E">
            <w:pPr>
              <w:autoSpaceDE w:val="0"/>
              <w:autoSpaceDN w:val="0"/>
              <w:adjustRightInd w:val="0"/>
              <w:snapToGrid w:val="0"/>
              <w:spacing w:line="240" w:lineRule="auto"/>
              <w:ind w:firstLine="0" w:firstLineChars="0"/>
              <w:jc w:val="center"/>
              <w:rPr>
                <w:color w:val="auto"/>
                <w:kern w:val="0"/>
                <w:szCs w:val="21"/>
              </w:rPr>
            </w:pPr>
            <w:r>
              <w:rPr>
                <w:color w:val="auto"/>
                <w:kern w:val="0"/>
                <w:szCs w:val="21"/>
              </w:rPr>
              <w:t>专项评价设置情况</w:t>
            </w:r>
          </w:p>
        </w:tc>
        <w:tc>
          <w:tcPr>
            <w:tcW w:w="6970" w:type="dxa"/>
            <w:gridSpan w:val="3"/>
            <w:vAlign w:val="center"/>
          </w:tcPr>
          <w:p w14:paraId="01CF452A">
            <w:pPr>
              <w:ind w:firstLine="480"/>
              <w:rPr>
                <w:color w:val="auto"/>
              </w:rPr>
            </w:pPr>
            <w:r>
              <w:rPr>
                <w:rFonts w:hint="eastAsia"/>
                <w:color w:val="auto"/>
              </w:rPr>
              <w:t>根据《建设项目环境影响评价报告表编制技术指南（污染影响类）（试行）》表1，专项评价的类别设置情况如下：</w:t>
            </w:r>
          </w:p>
          <w:p w14:paraId="079D1309">
            <w:pPr>
              <w:pStyle w:val="35"/>
              <w:rPr>
                <w:rFonts w:hint="default"/>
                <w:color w:val="auto"/>
              </w:rPr>
            </w:pPr>
            <w:r>
              <w:rPr>
                <w:color w:val="auto"/>
              </w:rPr>
              <w:t>表1-1 专项评价设置原则表</w:t>
            </w:r>
          </w:p>
          <w:tbl>
            <w:tblPr>
              <w:tblStyle w:val="17"/>
              <w:tblW w:w="675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2338"/>
              <w:gridCol w:w="2582"/>
              <w:gridCol w:w="764"/>
            </w:tblGrid>
            <w:tr w14:paraId="529087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tcBorders>
                    <w:tl2br w:val="nil"/>
                    <w:tr2bl w:val="nil"/>
                  </w:tcBorders>
                  <w:vAlign w:val="center"/>
                </w:tcPr>
                <w:p w14:paraId="2FEFEB48">
                  <w:pPr>
                    <w:pStyle w:val="33"/>
                    <w:rPr>
                      <w:color w:val="auto"/>
                    </w:rPr>
                  </w:pPr>
                  <w:r>
                    <w:rPr>
                      <w:color w:val="auto"/>
                    </w:rPr>
                    <w:t>专项评价的类别</w:t>
                  </w:r>
                </w:p>
              </w:tc>
              <w:tc>
                <w:tcPr>
                  <w:tcW w:w="2338" w:type="dxa"/>
                  <w:tcBorders>
                    <w:tl2br w:val="nil"/>
                    <w:tr2bl w:val="nil"/>
                  </w:tcBorders>
                  <w:vAlign w:val="center"/>
                </w:tcPr>
                <w:p w14:paraId="2221FDAB">
                  <w:pPr>
                    <w:pStyle w:val="33"/>
                    <w:rPr>
                      <w:color w:val="auto"/>
                    </w:rPr>
                  </w:pPr>
                  <w:r>
                    <w:rPr>
                      <w:color w:val="auto"/>
                    </w:rPr>
                    <w:t>设置原则</w:t>
                  </w:r>
                </w:p>
              </w:tc>
              <w:tc>
                <w:tcPr>
                  <w:tcW w:w="2582" w:type="dxa"/>
                  <w:tcBorders>
                    <w:tl2br w:val="nil"/>
                    <w:tr2bl w:val="nil"/>
                  </w:tcBorders>
                  <w:vAlign w:val="center"/>
                </w:tcPr>
                <w:p w14:paraId="0D0D4F85">
                  <w:pPr>
                    <w:pStyle w:val="33"/>
                    <w:rPr>
                      <w:color w:val="auto"/>
                    </w:rPr>
                  </w:pPr>
                  <w:r>
                    <w:rPr>
                      <w:color w:val="auto"/>
                    </w:rPr>
                    <w:t>项目情况</w:t>
                  </w:r>
                </w:p>
              </w:tc>
              <w:tc>
                <w:tcPr>
                  <w:tcW w:w="764" w:type="dxa"/>
                  <w:tcBorders>
                    <w:tl2br w:val="nil"/>
                    <w:tr2bl w:val="nil"/>
                  </w:tcBorders>
                  <w:vAlign w:val="center"/>
                </w:tcPr>
                <w:p w14:paraId="52B05A99">
                  <w:pPr>
                    <w:pStyle w:val="33"/>
                    <w:rPr>
                      <w:color w:val="auto"/>
                    </w:rPr>
                  </w:pPr>
                  <w:r>
                    <w:rPr>
                      <w:color w:val="auto"/>
                    </w:rPr>
                    <w:t>专项设置情况</w:t>
                  </w:r>
                </w:p>
              </w:tc>
            </w:tr>
            <w:tr w14:paraId="14DF00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tcBorders>
                    <w:tl2br w:val="nil"/>
                    <w:tr2bl w:val="nil"/>
                  </w:tcBorders>
                  <w:vAlign w:val="center"/>
                </w:tcPr>
                <w:p w14:paraId="0DA70DC1">
                  <w:pPr>
                    <w:pStyle w:val="33"/>
                    <w:rPr>
                      <w:color w:val="auto"/>
                    </w:rPr>
                  </w:pPr>
                  <w:r>
                    <w:rPr>
                      <w:color w:val="auto"/>
                    </w:rPr>
                    <w:t>大气</w:t>
                  </w:r>
                </w:p>
              </w:tc>
              <w:tc>
                <w:tcPr>
                  <w:tcW w:w="2338" w:type="dxa"/>
                  <w:tcBorders>
                    <w:tl2br w:val="nil"/>
                    <w:tr2bl w:val="nil"/>
                  </w:tcBorders>
                  <w:vAlign w:val="center"/>
                </w:tcPr>
                <w:p w14:paraId="5CC75358">
                  <w:pPr>
                    <w:pStyle w:val="33"/>
                    <w:rPr>
                      <w:color w:val="auto"/>
                    </w:rPr>
                  </w:pPr>
                  <w:r>
                    <w:rPr>
                      <w:color w:val="auto"/>
                    </w:rPr>
                    <w:t>排放废气含有毒有害污染物、二噁英、苯并〔a〕</w:t>
                  </w:r>
                  <w:r>
                    <w:rPr>
                      <w:rFonts w:hint="eastAsia"/>
                      <w:color w:val="auto"/>
                    </w:rPr>
                    <w:t>芘、氰化物、氯气且厂界外500米范围内有环境空气保护目标的建设项目</w:t>
                  </w:r>
                </w:p>
              </w:tc>
              <w:tc>
                <w:tcPr>
                  <w:tcW w:w="2582" w:type="dxa"/>
                  <w:tcBorders>
                    <w:tl2br w:val="nil"/>
                    <w:tr2bl w:val="nil"/>
                  </w:tcBorders>
                  <w:vAlign w:val="center"/>
                </w:tcPr>
                <w:p w14:paraId="65D53394">
                  <w:pPr>
                    <w:pStyle w:val="33"/>
                    <w:rPr>
                      <w:color w:val="auto"/>
                    </w:rPr>
                  </w:pPr>
                  <w:r>
                    <w:rPr>
                      <w:rFonts w:hint="eastAsia"/>
                      <w:color w:val="auto"/>
                    </w:rPr>
                    <w:t>项目废气不排放上述有毒有害污染物</w:t>
                  </w:r>
                </w:p>
              </w:tc>
              <w:tc>
                <w:tcPr>
                  <w:tcW w:w="764" w:type="dxa"/>
                  <w:tcBorders>
                    <w:tl2br w:val="nil"/>
                    <w:tr2bl w:val="nil"/>
                  </w:tcBorders>
                  <w:vAlign w:val="center"/>
                </w:tcPr>
                <w:p w14:paraId="3F28A216">
                  <w:pPr>
                    <w:pStyle w:val="33"/>
                    <w:rPr>
                      <w:color w:val="auto"/>
                    </w:rPr>
                  </w:pPr>
                  <w:r>
                    <w:rPr>
                      <w:rFonts w:hint="eastAsia"/>
                      <w:color w:val="auto"/>
                    </w:rPr>
                    <w:t>否</w:t>
                  </w:r>
                </w:p>
              </w:tc>
            </w:tr>
            <w:tr w14:paraId="66410D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tcBorders>
                    <w:tl2br w:val="nil"/>
                    <w:tr2bl w:val="nil"/>
                  </w:tcBorders>
                  <w:vAlign w:val="center"/>
                </w:tcPr>
                <w:p w14:paraId="4A1D7F25">
                  <w:pPr>
                    <w:pStyle w:val="33"/>
                    <w:rPr>
                      <w:color w:val="auto"/>
                    </w:rPr>
                  </w:pPr>
                  <w:r>
                    <w:rPr>
                      <w:color w:val="auto"/>
                    </w:rPr>
                    <w:t>地表水</w:t>
                  </w:r>
                </w:p>
              </w:tc>
              <w:tc>
                <w:tcPr>
                  <w:tcW w:w="2338" w:type="dxa"/>
                  <w:tcBorders>
                    <w:tl2br w:val="nil"/>
                    <w:tr2bl w:val="nil"/>
                  </w:tcBorders>
                  <w:vAlign w:val="center"/>
                </w:tcPr>
                <w:p w14:paraId="68A39158">
                  <w:pPr>
                    <w:pStyle w:val="33"/>
                    <w:rPr>
                      <w:color w:val="auto"/>
                    </w:rPr>
                  </w:pPr>
                  <w:r>
                    <w:rPr>
                      <w:rFonts w:hint="eastAsia"/>
                      <w:color w:val="auto"/>
                    </w:rPr>
                    <w:t>新增工业废水直排建设项目（槽罐车外送污水处理厂的除外）；新增废水直排的污水集中处理厂</w:t>
                  </w:r>
                </w:p>
              </w:tc>
              <w:tc>
                <w:tcPr>
                  <w:tcW w:w="2582" w:type="dxa"/>
                  <w:tcBorders>
                    <w:tl2br w:val="nil"/>
                    <w:tr2bl w:val="nil"/>
                  </w:tcBorders>
                  <w:vAlign w:val="center"/>
                </w:tcPr>
                <w:p w14:paraId="660BD42D">
                  <w:pPr>
                    <w:pStyle w:val="33"/>
                    <w:rPr>
                      <w:color w:val="auto"/>
                    </w:rPr>
                  </w:pPr>
                  <w:r>
                    <w:rPr>
                      <w:rFonts w:hint="eastAsia"/>
                      <w:color w:val="auto"/>
                    </w:rPr>
                    <w:t>本项目生产废水经</w:t>
                  </w:r>
                  <w:r>
                    <w:rPr>
                      <w:rFonts w:hint="eastAsia"/>
                      <w:color w:val="auto"/>
                      <w:lang w:eastAsia="zh-CN"/>
                    </w:rPr>
                    <w:t>厂区自建污水处理设施“隔油沉淀+一体化A/O工艺”</w:t>
                  </w:r>
                  <w:r>
                    <w:rPr>
                      <w:rFonts w:hint="eastAsia"/>
                      <w:color w:val="auto"/>
                    </w:rPr>
                    <w:t>处理达到《污水综合排放标准》（GB8978—1996）三级标准及新兴污水处理厂设计进水水质要求后排放至柳江区新兴工业园污水处理厂</w:t>
                  </w:r>
                </w:p>
              </w:tc>
              <w:tc>
                <w:tcPr>
                  <w:tcW w:w="764" w:type="dxa"/>
                  <w:tcBorders>
                    <w:tl2br w:val="nil"/>
                    <w:tr2bl w:val="nil"/>
                  </w:tcBorders>
                  <w:vAlign w:val="center"/>
                </w:tcPr>
                <w:p w14:paraId="6ED7C22C">
                  <w:pPr>
                    <w:pStyle w:val="33"/>
                    <w:rPr>
                      <w:color w:val="auto"/>
                    </w:rPr>
                  </w:pPr>
                  <w:r>
                    <w:rPr>
                      <w:rFonts w:hint="eastAsia"/>
                      <w:color w:val="auto"/>
                    </w:rPr>
                    <w:t>否</w:t>
                  </w:r>
                </w:p>
              </w:tc>
            </w:tr>
            <w:tr w14:paraId="5B748E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tcBorders>
                    <w:tl2br w:val="nil"/>
                    <w:tr2bl w:val="nil"/>
                  </w:tcBorders>
                  <w:vAlign w:val="center"/>
                </w:tcPr>
                <w:p w14:paraId="68B15533">
                  <w:pPr>
                    <w:pStyle w:val="33"/>
                    <w:rPr>
                      <w:color w:val="auto"/>
                    </w:rPr>
                  </w:pPr>
                  <w:r>
                    <w:rPr>
                      <w:color w:val="auto"/>
                    </w:rPr>
                    <w:t>环境风险</w:t>
                  </w:r>
                </w:p>
              </w:tc>
              <w:tc>
                <w:tcPr>
                  <w:tcW w:w="2338" w:type="dxa"/>
                  <w:tcBorders>
                    <w:tl2br w:val="nil"/>
                    <w:tr2bl w:val="nil"/>
                  </w:tcBorders>
                  <w:vAlign w:val="center"/>
                </w:tcPr>
                <w:p w14:paraId="761E7F35">
                  <w:pPr>
                    <w:pStyle w:val="33"/>
                    <w:rPr>
                      <w:color w:val="auto"/>
                    </w:rPr>
                  </w:pPr>
                  <w:r>
                    <w:rPr>
                      <w:rFonts w:hint="eastAsia"/>
                      <w:color w:val="auto"/>
                    </w:rPr>
                    <w:t>有毒有害和易燃易爆危险物质存储量超过临界量的建设项目</w:t>
                  </w:r>
                </w:p>
              </w:tc>
              <w:tc>
                <w:tcPr>
                  <w:tcW w:w="2582" w:type="dxa"/>
                  <w:tcBorders>
                    <w:tl2br w:val="nil"/>
                    <w:tr2bl w:val="nil"/>
                  </w:tcBorders>
                  <w:vAlign w:val="center"/>
                </w:tcPr>
                <w:p w14:paraId="0B0313DC">
                  <w:pPr>
                    <w:pStyle w:val="33"/>
                    <w:rPr>
                      <w:color w:val="auto"/>
                    </w:rPr>
                  </w:pPr>
                  <w:r>
                    <w:rPr>
                      <w:rFonts w:hint="eastAsia"/>
                      <w:color w:val="auto"/>
                    </w:rPr>
                    <w:t>项目危险物质未超临界值</w:t>
                  </w:r>
                </w:p>
              </w:tc>
              <w:tc>
                <w:tcPr>
                  <w:tcW w:w="764" w:type="dxa"/>
                  <w:tcBorders>
                    <w:tl2br w:val="nil"/>
                    <w:tr2bl w:val="nil"/>
                  </w:tcBorders>
                  <w:vAlign w:val="center"/>
                </w:tcPr>
                <w:p w14:paraId="101D9F4A">
                  <w:pPr>
                    <w:pStyle w:val="33"/>
                    <w:rPr>
                      <w:color w:val="auto"/>
                    </w:rPr>
                  </w:pPr>
                  <w:r>
                    <w:rPr>
                      <w:rFonts w:hint="eastAsia"/>
                      <w:color w:val="auto"/>
                    </w:rPr>
                    <w:t>否</w:t>
                  </w:r>
                </w:p>
              </w:tc>
            </w:tr>
            <w:tr w14:paraId="4E984E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tcBorders>
                    <w:tl2br w:val="nil"/>
                    <w:tr2bl w:val="nil"/>
                  </w:tcBorders>
                  <w:vAlign w:val="center"/>
                </w:tcPr>
                <w:p w14:paraId="218AF228">
                  <w:pPr>
                    <w:pStyle w:val="33"/>
                    <w:rPr>
                      <w:color w:val="auto"/>
                    </w:rPr>
                  </w:pPr>
                  <w:r>
                    <w:rPr>
                      <w:color w:val="auto"/>
                    </w:rPr>
                    <w:t>生态</w:t>
                  </w:r>
                </w:p>
              </w:tc>
              <w:tc>
                <w:tcPr>
                  <w:tcW w:w="2338" w:type="dxa"/>
                  <w:tcBorders>
                    <w:tl2br w:val="nil"/>
                    <w:tr2bl w:val="nil"/>
                  </w:tcBorders>
                  <w:vAlign w:val="center"/>
                </w:tcPr>
                <w:p w14:paraId="6A78AA77">
                  <w:pPr>
                    <w:pStyle w:val="33"/>
                    <w:rPr>
                      <w:color w:val="auto"/>
                    </w:rPr>
                  </w:pPr>
                  <w:r>
                    <w:rPr>
                      <w:rFonts w:hint="eastAsia"/>
                      <w:color w:val="auto"/>
                    </w:rPr>
                    <w:t>取水口下游500米范围内有重要水生生物的自然产卵场、索饵场、越冬场和洄游通道的新建河道取水的污染类建设项目</w:t>
                  </w:r>
                </w:p>
              </w:tc>
              <w:tc>
                <w:tcPr>
                  <w:tcW w:w="2582" w:type="dxa"/>
                  <w:tcBorders>
                    <w:tl2br w:val="nil"/>
                    <w:tr2bl w:val="nil"/>
                  </w:tcBorders>
                  <w:vAlign w:val="center"/>
                </w:tcPr>
                <w:p w14:paraId="32309171">
                  <w:pPr>
                    <w:pStyle w:val="33"/>
                    <w:rPr>
                      <w:color w:val="auto"/>
                    </w:rPr>
                  </w:pPr>
                  <w:r>
                    <w:rPr>
                      <w:rFonts w:hint="eastAsia"/>
                      <w:color w:val="auto"/>
                    </w:rPr>
                    <w:t>项目不属于新增河道取水项目</w:t>
                  </w:r>
                </w:p>
              </w:tc>
              <w:tc>
                <w:tcPr>
                  <w:tcW w:w="764" w:type="dxa"/>
                  <w:tcBorders>
                    <w:tl2br w:val="nil"/>
                    <w:tr2bl w:val="nil"/>
                  </w:tcBorders>
                  <w:vAlign w:val="center"/>
                </w:tcPr>
                <w:p w14:paraId="0C485958">
                  <w:pPr>
                    <w:pStyle w:val="33"/>
                    <w:rPr>
                      <w:color w:val="auto"/>
                    </w:rPr>
                  </w:pPr>
                  <w:r>
                    <w:rPr>
                      <w:rFonts w:hint="eastAsia"/>
                      <w:color w:val="auto"/>
                    </w:rPr>
                    <w:t>否</w:t>
                  </w:r>
                </w:p>
              </w:tc>
            </w:tr>
            <w:tr w14:paraId="0041D0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tcBorders>
                    <w:tl2br w:val="nil"/>
                    <w:tr2bl w:val="nil"/>
                  </w:tcBorders>
                  <w:vAlign w:val="center"/>
                </w:tcPr>
                <w:p w14:paraId="4412D88C">
                  <w:pPr>
                    <w:pStyle w:val="33"/>
                    <w:rPr>
                      <w:color w:val="auto"/>
                    </w:rPr>
                  </w:pPr>
                  <w:r>
                    <w:rPr>
                      <w:color w:val="auto"/>
                    </w:rPr>
                    <w:t>海洋</w:t>
                  </w:r>
                </w:p>
              </w:tc>
              <w:tc>
                <w:tcPr>
                  <w:tcW w:w="2338" w:type="dxa"/>
                  <w:tcBorders>
                    <w:tl2br w:val="nil"/>
                    <w:tr2bl w:val="nil"/>
                  </w:tcBorders>
                  <w:vAlign w:val="center"/>
                </w:tcPr>
                <w:p w14:paraId="220A4BCD">
                  <w:pPr>
                    <w:pStyle w:val="33"/>
                    <w:rPr>
                      <w:color w:val="auto"/>
                    </w:rPr>
                  </w:pPr>
                  <w:r>
                    <w:rPr>
                      <w:rFonts w:hint="eastAsia"/>
                      <w:color w:val="auto"/>
                    </w:rPr>
                    <w:t>直接向海排放污染物的海洋工程建设项目</w:t>
                  </w:r>
                </w:p>
              </w:tc>
              <w:tc>
                <w:tcPr>
                  <w:tcW w:w="2582" w:type="dxa"/>
                  <w:tcBorders>
                    <w:tl2br w:val="nil"/>
                    <w:tr2bl w:val="nil"/>
                  </w:tcBorders>
                  <w:vAlign w:val="center"/>
                </w:tcPr>
                <w:p w14:paraId="000AC241">
                  <w:pPr>
                    <w:pStyle w:val="33"/>
                    <w:rPr>
                      <w:color w:val="auto"/>
                    </w:rPr>
                  </w:pPr>
                  <w:r>
                    <w:rPr>
                      <w:rFonts w:hint="eastAsia"/>
                      <w:color w:val="auto"/>
                    </w:rPr>
                    <w:t>不涉及</w:t>
                  </w:r>
                </w:p>
              </w:tc>
              <w:tc>
                <w:tcPr>
                  <w:tcW w:w="764" w:type="dxa"/>
                  <w:tcBorders>
                    <w:tl2br w:val="nil"/>
                    <w:tr2bl w:val="nil"/>
                  </w:tcBorders>
                  <w:vAlign w:val="center"/>
                </w:tcPr>
                <w:p w14:paraId="37CAF5BB">
                  <w:pPr>
                    <w:pStyle w:val="33"/>
                    <w:rPr>
                      <w:color w:val="auto"/>
                    </w:rPr>
                  </w:pPr>
                  <w:r>
                    <w:rPr>
                      <w:rFonts w:hint="eastAsia"/>
                      <w:color w:val="auto"/>
                    </w:rPr>
                    <w:t>否</w:t>
                  </w:r>
                </w:p>
              </w:tc>
            </w:tr>
          </w:tbl>
          <w:p w14:paraId="77EEE70A">
            <w:pPr>
              <w:ind w:firstLine="480"/>
              <w:rPr>
                <w:color w:val="auto"/>
              </w:rPr>
            </w:pPr>
            <w:r>
              <w:rPr>
                <w:rFonts w:hint="eastAsia"/>
                <w:color w:val="auto"/>
              </w:rPr>
              <w:t>综上，本项目无需设置专项评价。</w:t>
            </w:r>
          </w:p>
        </w:tc>
      </w:tr>
      <w:tr w14:paraId="2544CB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00" w:type="dxa"/>
            <w:vAlign w:val="center"/>
          </w:tcPr>
          <w:p w14:paraId="7B3B4A5B">
            <w:pPr>
              <w:autoSpaceDE w:val="0"/>
              <w:autoSpaceDN w:val="0"/>
              <w:adjustRightInd w:val="0"/>
              <w:snapToGrid w:val="0"/>
              <w:spacing w:line="240" w:lineRule="auto"/>
              <w:ind w:firstLine="0" w:firstLineChars="0"/>
              <w:jc w:val="center"/>
              <w:rPr>
                <w:color w:val="auto"/>
                <w:kern w:val="0"/>
                <w:szCs w:val="21"/>
              </w:rPr>
            </w:pPr>
            <w:r>
              <w:rPr>
                <w:color w:val="auto"/>
                <w:szCs w:val="21"/>
              </w:rPr>
              <w:t>规划情况</w:t>
            </w:r>
          </w:p>
        </w:tc>
        <w:tc>
          <w:tcPr>
            <w:tcW w:w="6970" w:type="dxa"/>
            <w:gridSpan w:val="3"/>
            <w:vAlign w:val="center"/>
          </w:tcPr>
          <w:p w14:paraId="2CA08616">
            <w:pPr>
              <w:ind w:firstLine="480"/>
              <w:rPr>
                <w:color w:val="auto"/>
              </w:rPr>
            </w:pPr>
            <w:r>
              <w:rPr>
                <w:rFonts w:hint="eastAsia"/>
                <w:color w:val="auto"/>
              </w:rPr>
              <w:t>2023年4月19日，柳江区经济开发区管理委员会委托广西博环环境咨询服务有限公司编制完成了《柳州市柳江区新兴工业园产业发展规划（2020-2025年）—新兴工业集中区》并组织专家完成评审。</w:t>
            </w:r>
          </w:p>
        </w:tc>
      </w:tr>
      <w:tr w14:paraId="1890B7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00" w:type="dxa"/>
            <w:vAlign w:val="center"/>
          </w:tcPr>
          <w:p w14:paraId="5B48F204">
            <w:pPr>
              <w:adjustRightInd w:val="0"/>
              <w:snapToGrid w:val="0"/>
              <w:spacing w:line="240" w:lineRule="auto"/>
              <w:ind w:firstLine="0" w:firstLineChars="0"/>
              <w:jc w:val="center"/>
              <w:rPr>
                <w:color w:val="auto"/>
                <w:szCs w:val="21"/>
              </w:rPr>
            </w:pPr>
            <w:r>
              <w:rPr>
                <w:color w:val="auto"/>
                <w:szCs w:val="21"/>
              </w:rPr>
              <w:t>规划环境影响</w:t>
            </w:r>
          </w:p>
          <w:p w14:paraId="187973EC">
            <w:pPr>
              <w:adjustRightInd w:val="0"/>
              <w:snapToGrid w:val="0"/>
              <w:spacing w:line="240" w:lineRule="auto"/>
              <w:ind w:firstLine="0" w:firstLineChars="0"/>
              <w:jc w:val="center"/>
              <w:rPr>
                <w:color w:val="auto"/>
                <w:kern w:val="0"/>
                <w:szCs w:val="21"/>
              </w:rPr>
            </w:pPr>
            <w:r>
              <w:rPr>
                <w:color w:val="auto"/>
                <w:szCs w:val="21"/>
              </w:rPr>
              <w:t>评价情况</w:t>
            </w:r>
          </w:p>
        </w:tc>
        <w:tc>
          <w:tcPr>
            <w:tcW w:w="6970" w:type="dxa"/>
            <w:gridSpan w:val="3"/>
            <w:vAlign w:val="center"/>
          </w:tcPr>
          <w:p w14:paraId="0660F0DE">
            <w:pPr>
              <w:ind w:firstLine="480"/>
              <w:jc w:val="left"/>
              <w:rPr>
                <w:color w:val="auto"/>
              </w:rPr>
            </w:pPr>
            <w:r>
              <w:rPr>
                <w:rFonts w:hint="eastAsia"/>
                <w:color w:val="auto"/>
              </w:rPr>
              <w:t>规划环境影响评价文件名称：《柳州市柳江区新兴工业园产业发展规划（2020-2025年）—新兴工业集中区环境影响报告书》</w:t>
            </w:r>
          </w:p>
          <w:p w14:paraId="500516BD">
            <w:pPr>
              <w:ind w:firstLine="480"/>
              <w:jc w:val="left"/>
              <w:rPr>
                <w:color w:val="auto"/>
              </w:rPr>
            </w:pPr>
            <w:r>
              <w:rPr>
                <w:rFonts w:hint="eastAsia"/>
                <w:color w:val="auto"/>
              </w:rPr>
              <w:t>审查机关：柳州市生态环境局</w:t>
            </w:r>
          </w:p>
          <w:p w14:paraId="6E46434C">
            <w:pPr>
              <w:ind w:firstLine="480"/>
              <w:jc w:val="left"/>
              <w:rPr>
                <w:color w:val="auto"/>
              </w:rPr>
            </w:pPr>
            <w:r>
              <w:rPr>
                <w:rFonts w:hint="eastAsia"/>
                <w:color w:val="auto"/>
              </w:rPr>
              <w:t>审查文件名称及文号：《柳州市柳江区新兴工业园产业发展规划（2020—2025年）—新兴工业集中区环境影响报告书》及其审查意见（柳环函〔2023〕241号）</w:t>
            </w:r>
          </w:p>
        </w:tc>
      </w:tr>
      <w:tr w14:paraId="1AAE5F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00" w:type="dxa"/>
            <w:vAlign w:val="center"/>
          </w:tcPr>
          <w:p w14:paraId="02D75543">
            <w:pPr>
              <w:autoSpaceDE w:val="0"/>
              <w:autoSpaceDN w:val="0"/>
              <w:adjustRightInd w:val="0"/>
              <w:snapToGrid w:val="0"/>
              <w:spacing w:line="240" w:lineRule="auto"/>
              <w:ind w:firstLine="0" w:firstLineChars="0"/>
              <w:jc w:val="center"/>
              <w:rPr>
                <w:color w:val="auto"/>
                <w:kern w:val="0"/>
                <w:szCs w:val="21"/>
              </w:rPr>
            </w:pPr>
            <w:r>
              <w:rPr>
                <w:color w:val="auto"/>
                <w:kern w:val="0"/>
                <w:szCs w:val="21"/>
              </w:rPr>
              <w:t>规划及规划环境</w:t>
            </w:r>
          </w:p>
          <w:p w14:paraId="19EEA317">
            <w:pPr>
              <w:autoSpaceDE w:val="0"/>
              <w:autoSpaceDN w:val="0"/>
              <w:adjustRightInd w:val="0"/>
              <w:snapToGrid w:val="0"/>
              <w:spacing w:line="240" w:lineRule="auto"/>
              <w:ind w:firstLine="0" w:firstLineChars="0"/>
              <w:jc w:val="center"/>
              <w:rPr>
                <w:color w:val="auto"/>
                <w:kern w:val="0"/>
                <w:szCs w:val="21"/>
              </w:rPr>
            </w:pPr>
            <w:r>
              <w:rPr>
                <w:color w:val="auto"/>
                <w:kern w:val="0"/>
                <w:szCs w:val="21"/>
              </w:rPr>
              <w:t>影响评价符合性分析</w:t>
            </w:r>
          </w:p>
        </w:tc>
        <w:tc>
          <w:tcPr>
            <w:tcW w:w="6970" w:type="dxa"/>
            <w:gridSpan w:val="3"/>
            <w:vAlign w:val="center"/>
          </w:tcPr>
          <w:p w14:paraId="72F3623A">
            <w:pPr>
              <w:ind w:firstLine="482"/>
              <w:rPr>
                <w:b/>
                <w:bCs/>
                <w:color w:val="auto"/>
              </w:rPr>
            </w:pPr>
            <w:r>
              <w:rPr>
                <w:rFonts w:hint="eastAsia"/>
                <w:b/>
                <w:bCs/>
                <w:color w:val="auto"/>
              </w:rPr>
              <w:t>1、与柳州市柳江区新兴工业园产业发展规划（2020-2025）—新兴工业集中区产业发展方向及土地利用规划相符性分析</w:t>
            </w:r>
          </w:p>
          <w:p w14:paraId="7E0C36BD">
            <w:pPr>
              <w:ind w:firstLine="480"/>
              <w:rPr>
                <w:color w:val="auto"/>
              </w:rPr>
            </w:pPr>
            <w:r>
              <w:rPr>
                <w:rFonts w:hint="eastAsia"/>
                <w:color w:val="auto"/>
              </w:rPr>
              <w:t>（1）产业发展方向</w:t>
            </w:r>
          </w:p>
          <w:p w14:paraId="359CF19D">
            <w:pPr>
              <w:ind w:firstLine="480"/>
              <w:rPr>
                <w:color w:val="auto"/>
              </w:rPr>
            </w:pPr>
            <w:r>
              <w:rPr>
                <w:rFonts w:hint="eastAsia"/>
                <w:color w:val="auto"/>
              </w:rPr>
              <w:t>根据《柳州市柳江区新兴工业园产业发展规划（2020-2025）—新兴工业集中区》，新兴工业集中区规划以汽车零部件产业、先进装备和机械制造产业、智能家电产业与电子信息产业（含配套产业）以及大健康产业（含医药产业和配套发展的食品加工产业）为主，配套发展仓储物流产业和生活服务产业。</w:t>
            </w:r>
          </w:p>
          <w:p w14:paraId="60EDDEBD">
            <w:pPr>
              <w:ind w:firstLine="480"/>
              <w:rPr>
                <w:color w:val="auto"/>
              </w:rPr>
            </w:pPr>
            <w:r>
              <w:rPr>
                <w:rFonts w:hint="eastAsia"/>
                <w:color w:val="auto"/>
              </w:rPr>
              <w:t>本项目位于新兴工业园集中区，属于食品加工产业，所处的场地周边有多家食品加工企业，属于园区兼容项目，不在园区负面清单范围内。</w:t>
            </w:r>
          </w:p>
          <w:p w14:paraId="2086D62C">
            <w:pPr>
              <w:ind w:firstLine="480"/>
              <w:rPr>
                <w:color w:val="auto"/>
              </w:rPr>
            </w:pPr>
            <w:r>
              <w:rPr>
                <w:rFonts w:hint="eastAsia"/>
                <w:color w:val="auto"/>
              </w:rPr>
              <w:t>（2）土地利用规划</w:t>
            </w:r>
          </w:p>
          <w:p w14:paraId="6FD323D5">
            <w:pPr>
              <w:ind w:firstLine="480"/>
              <w:rPr>
                <w:color w:val="auto"/>
              </w:rPr>
            </w:pPr>
            <w:r>
              <w:rPr>
                <w:rFonts w:hint="eastAsia"/>
                <w:color w:val="auto"/>
              </w:rPr>
              <w:t>根据《柳州市柳江区新兴工业园产业发展规划（2020-2025）—新兴工业集中区土地利用规划图》，</w:t>
            </w:r>
            <w:r>
              <w:rPr>
                <w:rFonts w:hint="eastAsia"/>
                <w:color w:val="auto"/>
                <w:lang w:val="en-US" w:eastAsia="zh-CN"/>
              </w:rPr>
              <w:t>见附图5，</w:t>
            </w:r>
            <w:r>
              <w:rPr>
                <w:rFonts w:hint="eastAsia"/>
                <w:color w:val="auto"/>
              </w:rPr>
              <w:t>项目选址位于二类工业用地内，符合用地规划。</w:t>
            </w:r>
          </w:p>
          <w:p w14:paraId="12129805">
            <w:pPr>
              <w:ind w:firstLine="480"/>
              <w:rPr>
                <w:color w:val="auto"/>
              </w:rPr>
            </w:pPr>
            <w:r>
              <w:rPr>
                <w:rFonts w:hint="eastAsia"/>
                <w:color w:val="auto"/>
              </w:rPr>
              <w:t>综上，本项目与柳州市柳江区新兴工业园产业发展规划（2020-2025）—新兴工业集中区产业发展方向及土地利用规划相符。</w:t>
            </w:r>
          </w:p>
          <w:p w14:paraId="6E5EB22F">
            <w:pPr>
              <w:ind w:firstLine="482"/>
              <w:rPr>
                <w:color w:val="auto"/>
              </w:rPr>
            </w:pPr>
            <w:r>
              <w:rPr>
                <w:rFonts w:hint="eastAsia"/>
                <w:b/>
                <w:bCs/>
                <w:color w:val="auto"/>
              </w:rPr>
              <w:t>2、与《柳州市柳江区新兴工业园产业发展规划（2020-2025）—新兴工业集中区环境影响报告书》及其审查意见相符性分析</w:t>
            </w:r>
          </w:p>
          <w:p w14:paraId="41E6A205">
            <w:pPr>
              <w:ind w:firstLine="480"/>
              <w:rPr>
                <w:color w:val="auto"/>
              </w:rPr>
            </w:pPr>
            <w:r>
              <w:rPr>
                <w:color w:val="auto"/>
              </w:rPr>
              <w:t>根据《柳州市柳江区新兴工业园产业发展规划（2020-2025）—新兴工业集中区</w:t>
            </w:r>
            <w:r>
              <w:rPr>
                <w:rFonts w:hint="eastAsia"/>
                <w:color w:val="auto"/>
              </w:rPr>
              <w:t>环境影响报告书</w:t>
            </w:r>
            <w:r>
              <w:rPr>
                <w:color w:val="auto"/>
              </w:rPr>
              <w:t>》以及柳州市生态环境局《关于印发&lt;柳州市柳江区新兴工业园产业发展规划（2020-2025年）—新兴工业集中区环境影响报告书&gt;审查意见的函》（柳环函〔2023〕241号），新兴工业集中区规划以汽车零部件产业、先进装备和机械制造产业、智能家电产业与电子信息产业（含配套产业）以及大健康产业（含医药产业和配套发展的食品加工产业）为主，配套发展仓储物流产业和生活服务产业。禁止引入产业清单和产业准入正面清单详见表1-</w:t>
            </w:r>
            <w:r>
              <w:rPr>
                <w:rFonts w:hint="eastAsia"/>
                <w:color w:val="auto"/>
              </w:rPr>
              <w:t>2</w:t>
            </w:r>
            <w:r>
              <w:rPr>
                <w:color w:val="auto"/>
              </w:rPr>
              <w:t>、表1-</w:t>
            </w:r>
            <w:r>
              <w:rPr>
                <w:rFonts w:hint="eastAsia"/>
                <w:color w:val="auto"/>
              </w:rPr>
              <w:t>3</w:t>
            </w:r>
            <w:r>
              <w:rPr>
                <w:color w:val="auto"/>
              </w:rPr>
              <w:t>；项目与《柳州市柳江区新兴工业园产业发展规划（2020-2025）—新兴工业集中区环境影响报告书》及其审查意见相符性分析详见表1-</w:t>
            </w:r>
            <w:r>
              <w:rPr>
                <w:rFonts w:hint="eastAsia"/>
                <w:color w:val="auto"/>
              </w:rPr>
              <w:t>4</w:t>
            </w:r>
            <w:r>
              <w:rPr>
                <w:color w:val="auto"/>
              </w:rPr>
              <w:t>。</w:t>
            </w:r>
          </w:p>
          <w:p w14:paraId="47E277DA">
            <w:pPr>
              <w:pStyle w:val="35"/>
              <w:rPr>
                <w:rFonts w:hint="default"/>
                <w:color w:val="auto"/>
              </w:rPr>
            </w:pPr>
            <w:r>
              <w:rPr>
                <w:color w:val="auto"/>
              </w:rPr>
              <w:t>表1-2 新兴工业集中区禁止引入产业清单</w:t>
            </w:r>
          </w:p>
          <w:tbl>
            <w:tblPr>
              <w:tblStyle w:val="17"/>
              <w:tblW w:w="6754"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0"/>
              <w:gridCol w:w="5764"/>
            </w:tblGrid>
            <w:tr w14:paraId="141E49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561CBE76">
                  <w:pPr>
                    <w:pStyle w:val="33"/>
                    <w:rPr>
                      <w:color w:val="auto"/>
                    </w:rPr>
                  </w:pPr>
                  <w:r>
                    <w:rPr>
                      <w:rFonts w:hint="eastAsia"/>
                      <w:color w:val="auto"/>
                    </w:rPr>
                    <w:t>序号</w:t>
                  </w:r>
                </w:p>
              </w:tc>
              <w:tc>
                <w:tcPr>
                  <w:tcW w:w="5764" w:type="dxa"/>
                  <w:tcBorders>
                    <w:tl2br w:val="nil"/>
                    <w:tr2bl w:val="nil"/>
                  </w:tcBorders>
                </w:tcPr>
                <w:p w14:paraId="27C38DA9">
                  <w:pPr>
                    <w:pStyle w:val="33"/>
                    <w:rPr>
                      <w:color w:val="auto"/>
                    </w:rPr>
                  </w:pPr>
                  <w:r>
                    <w:rPr>
                      <w:rFonts w:hint="eastAsia"/>
                      <w:color w:val="auto"/>
                    </w:rPr>
                    <w:t>《国民经济行业分类》类别名称</w:t>
                  </w:r>
                </w:p>
              </w:tc>
            </w:tr>
            <w:tr w14:paraId="11BADC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68EC6F84">
                  <w:pPr>
                    <w:pStyle w:val="33"/>
                    <w:rPr>
                      <w:color w:val="auto"/>
                    </w:rPr>
                  </w:pPr>
                  <w:r>
                    <w:rPr>
                      <w:rFonts w:hint="eastAsia"/>
                      <w:color w:val="auto"/>
                    </w:rPr>
                    <w:t>1</w:t>
                  </w:r>
                </w:p>
              </w:tc>
              <w:tc>
                <w:tcPr>
                  <w:tcW w:w="5764" w:type="dxa"/>
                  <w:tcBorders>
                    <w:tl2br w:val="nil"/>
                    <w:tr2bl w:val="nil"/>
                  </w:tcBorders>
                </w:tcPr>
                <w:p w14:paraId="517F0A4C">
                  <w:pPr>
                    <w:pStyle w:val="33"/>
                    <w:rPr>
                      <w:color w:val="auto"/>
                    </w:rPr>
                  </w:pPr>
                  <w:r>
                    <w:rPr>
                      <w:rFonts w:hint="eastAsia"/>
                      <w:color w:val="auto"/>
                    </w:rPr>
                    <w:t>C133植物油加工；C135屠宰及肉类加工</w:t>
                  </w:r>
                </w:p>
              </w:tc>
            </w:tr>
            <w:tr w14:paraId="32A948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48A255E1">
                  <w:pPr>
                    <w:pStyle w:val="33"/>
                    <w:rPr>
                      <w:color w:val="auto"/>
                    </w:rPr>
                  </w:pPr>
                  <w:r>
                    <w:rPr>
                      <w:rFonts w:hint="eastAsia"/>
                      <w:color w:val="auto"/>
                    </w:rPr>
                    <w:t>2</w:t>
                  </w:r>
                </w:p>
              </w:tc>
              <w:tc>
                <w:tcPr>
                  <w:tcW w:w="5764" w:type="dxa"/>
                  <w:tcBorders>
                    <w:tl2br w:val="nil"/>
                    <w:tr2bl w:val="nil"/>
                  </w:tcBorders>
                </w:tcPr>
                <w:p w14:paraId="16C585C3">
                  <w:pPr>
                    <w:pStyle w:val="33"/>
                    <w:rPr>
                      <w:color w:val="auto"/>
                    </w:rPr>
                  </w:pPr>
                  <w:r>
                    <w:rPr>
                      <w:color w:val="auto"/>
                    </w:rPr>
                    <w:t>C</w:t>
                  </w:r>
                  <w:r>
                    <w:rPr>
                      <w:rFonts w:hint="eastAsia"/>
                      <w:color w:val="auto"/>
                    </w:rPr>
                    <w:t>1461味精制造；C1462酱油、食醋及类似制品制造；C1494盐加工；C1495食品及饲料添加剂制造</w:t>
                  </w:r>
                </w:p>
              </w:tc>
            </w:tr>
            <w:tr w14:paraId="45F7C3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2348AB17">
                  <w:pPr>
                    <w:pStyle w:val="33"/>
                    <w:rPr>
                      <w:color w:val="auto"/>
                    </w:rPr>
                  </w:pPr>
                  <w:r>
                    <w:rPr>
                      <w:rFonts w:hint="eastAsia"/>
                      <w:color w:val="auto"/>
                    </w:rPr>
                    <w:t>3</w:t>
                  </w:r>
                </w:p>
              </w:tc>
              <w:tc>
                <w:tcPr>
                  <w:tcW w:w="5764" w:type="dxa"/>
                  <w:tcBorders>
                    <w:tl2br w:val="nil"/>
                    <w:tr2bl w:val="nil"/>
                  </w:tcBorders>
                </w:tcPr>
                <w:p w14:paraId="35D84C66">
                  <w:pPr>
                    <w:pStyle w:val="33"/>
                    <w:rPr>
                      <w:color w:val="auto"/>
                    </w:rPr>
                  </w:pPr>
                  <w:r>
                    <w:rPr>
                      <w:color w:val="auto"/>
                    </w:rPr>
                    <w:t>C</w:t>
                  </w:r>
                  <w:r>
                    <w:rPr>
                      <w:rFonts w:hint="eastAsia"/>
                      <w:color w:val="auto"/>
                    </w:rPr>
                    <w:t>151酒的制造</w:t>
                  </w:r>
                </w:p>
              </w:tc>
            </w:tr>
            <w:tr w14:paraId="342B2B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4D26A012">
                  <w:pPr>
                    <w:pStyle w:val="33"/>
                    <w:rPr>
                      <w:color w:val="auto"/>
                    </w:rPr>
                  </w:pPr>
                  <w:r>
                    <w:rPr>
                      <w:rFonts w:hint="eastAsia"/>
                      <w:color w:val="auto"/>
                    </w:rPr>
                    <w:t>4</w:t>
                  </w:r>
                </w:p>
              </w:tc>
              <w:tc>
                <w:tcPr>
                  <w:tcW w:w="5764" w:type="dxa"/>
                  <w:tcBorders>
                    <w:tl2br w:val="nil"/>
                    <w:tr2bl w:val="nil"/>
                  </w:tcBorders>
                </w:tcPr>
                <w:p w14:paraId="5DD7A03D">
                  <w:pPr>
                    <w:pStyle w:val="33"/>
                    <w:rPr>
                      <w:color w:val="auto"/>
                    </w:rPr>
                  </w:pPr>
                  <w:r>
                    <w:rPr>
                      <w:color w:val="auto"/>
                    </w:rPr>
                    <w:t>C</w:t>
                  </w:r>
                  <w:r>
                    <w:rPr>
                      <w:rFonts w:hint="eastAsia"/>
                      <w:color w:val="auto"/>
                    </w:rPr>
                    <w:t>16烟草制品业</w:t>
                  </w:r>
                </w:p>
              </w:tc>
            </w:tr>
            <w:tr w14:paraId="269AC7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773E7FBE">
                  <w:pPr>
                    <w:pStyle w:val="33"/>
                    <w:rPr>
                      <w:color w:val="auto"/>
                    </w:rPr>
                  </w:pPr>
                  <w:r>
                    <w:rPr>
                      <w:rFonts w:hint="eastAsia"/>
                      <w:color w:val="auto"/>
                    </w:rPr>
                    <w:t>5</w:t>
                  </w:r>
                </w:p>
              </w:tc>
              <w:tc>
                <w:tcPr>
                  <w:tcW w:w="5764" w:type="dxa"/>
                  <w:tcBorders>
                    <w:tl2br w:val="nil"/>
                    <w:tr2bl w:val="nil"/>
                  </w:tcBorders>
                </w:tcPr>
                <w:p w14:paraId="33B7A0A6">
                  <w:pPr>
                    <w:pStyle w:val="33"/>
                    <w:rPr>
                      <w:color w:val="auto"/>
                    </w:rPr>
                  </w:pPr>
                  <w:r>
                    <w:rPr>
                      <w:color w:val="auto"/>
                    </w:rPr>
                    <w:t>C</w:t>
                  </w:r>
                  <w:r>
                    <w:rPr>
                      <w:rFonts w:hint="eastAsia"/>
                      <w:color w:val="auto"/>
                    </w:rPr>
                    <w:t>1713棉印染精加工；C1723毛染整精加工；C1733麻染整精加工；C1743丝印染精加工；C1752化纤织物染整精加工</w:t>
                  </w:r>
                </w:p>
              </w:tc>
            </w:tr>
            <w:tr w14:paraId="5B0073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1ADB2FB5">
                  <w:pPr>
                    <w:pStyle w:val="33"/>
                    <w:rPr>
                      <w:color w:val="auto"/>
                    </w:rPr>
                  </w:pPr>
                  <w:r>
                    <w:rPr>
                      <w:rFonts w:hint="eastAsia"/>
                      <w:color w:val="auto"/>
                    </w:rPr>
                    <w:t>6</w:t>
                  </w:r>
                </w:p>
              </w:tc>
              <w:tc>
                <w:tcPr>
                  <w:tcW w:w="5764" w:type="dxa"/>
                  <w:tcBorders>
                    <w:tl2br w:val="nil"/>
                    <w:tr2bl w:val="nil"/>
                  </w:tcBorders>
                </w:tcPr>
                <w:p w14:paraId="65C1E87A">
                  <w:pPr>
                    <w:pStyle w:val="33"/>
                    <w:rPr>
                      <w:color w:val="auto"/>
                    </w:rPr>
                  </w:pPr>
                  <w:r>
                    <w:rPr>
                      <w:color w:val="auto"/>
                    </w:rPr>
                    <w:t>C</w:t>
                  </w:r>
                  <w:r>
                    <w:rPr>
                      <w:rFonts w:hint="eastAsia"/>
                      <w:color w:val="auto"/>
                    </w:rPr>
                    <w:t>19皮革、毛皮、羽毛及其制品和制鞋业</w:t>
                  </w:r>
                </w:p>
              </w:tc>
            </w:tr>
            <w:tr w14:paraId="6AFC3E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3B5148EB">
                  <w:pPr>
                    <w:pStyle w:val="33"/>
                    <w:rPr>
                      <w:color w:val="auto"/>
                    </w:rPr>
                  </w:pPr>
                  <w:r>
                    <w:rPr>
                      <w:rFonts w:hint="eastAsia"/>
                      <w:color w:val="auto"/>
                    </w:rPr>
                    <w:t>7</w:t>
                  </w:r>
                </w:p>
              </w:tc>
              <w:tc>
                <w:tcPr>
                  <w:tcW w:w="5764" w:type="dxa"/>
                  <w:tcBorders>
                    <w:tl2br w:val="nil"/>
                    <w:tr2bl w:val="nil"/>
                  </w:tcBorders>
                </w:tcPr>
                <w:p w14:paraId="386738D6">
                  <w:pPr>
                    <w:pStyle w:val="33"/>
                    <w:rPr>
                      <w:color w:val="auto"/>
                    </w:rPr>
                  </w:pPr>
                  <w:r>
                    <w:rPr>
                      <w:color w:val="auto"/>
                    </w:rPr>
                    <w:t>C</w:t>
                  </w:r>
                  <w:r>
                    <w:rPr>
                      <w:rFonts w:hint="eastAsia"/>
                      <w:color w:val="auto"/>
                    </w:rPr>
                    <w:t>22造纸和纸制品业</w:t>
                  </w:r>
                </w:p>
              </w:tc>
            </w:tr>
            <w:tr w14:paraId="653A88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6A0744D1">
                  <w:pPr>
                    <w:pStyle w:val="33"/>
                    <w:rPr>
                      <w:color w:val="auto"/>
                    </w:rPr>
                  </w:pPr>
                  <w:r>
                    <w:rPr>
                      <w:rFonts w:hint="eastAsia"/>
                      <w:color w:val="auto"/>
                    </w:rPr>
                    <w:t>8</w:t>
                  </w:r>
                </w:p>
              </w:tc>
              <w:tc>
                <w:tcPr>
                  <w:tcW w:w="5764" w:type="dxa"/>
                  <w:tcBorders>
                    <w:tl2br w:val="nil"/>
                    <w:tr2bl w:val="nil"/>
                  </w:tcBorders>
                </w:tcPr>
                <w:p w14:paraId="33E7F8A4">
                  <w:pPr>
                    <w:pStyle w:val="33"/>
                    <w:rPr>
                      <w:color w:val="auto"/>
                    </w:rPr>
                  </w:pPr>
                  <w:r>
                    <w:rPr>
                      <w:color w:val="auto"/>
                    </w:rPr>
                    <w:t>C</w:t>
                  </w:r>
                  <w:r>
                    <w:rPr>
                      <w:rFonts w:hint="eastAsia"/>
                      <w:color w:val="auto"/>
                    </w:rPr>
                    <w:t>25石油、煤炭及其他燃料加工业</w:t>
                  </w:r>
                </w:p>
              </w:tc>
            </w:tr>
            <w:tr w14:paraId="1EC128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11A44578">
                  <w:pPr>
                    <w:pStyle w:val="33"/>
                    <w:rPr>
                      <w:color w:val="auto"/>
                    </w:rPr>
                  </w:pPr>
                  <w:r>
                    <w:rPr>
                      <w:rFonts w:hint="eastAsia"/>
                      <w:color w:val="auto"/>
                    </w:rPr>
                    <w:t>9</w:t>
                  </w:r>
                </w:p>
              </w:tc>
              <w:tc>
                <w:tcPr>
                  <w:tcW w:w="5764" w:type="dxa"/>
                  <w:tcBorders>
                    <w:tl2br w:val="nil"/>
                    <w:tr2bl w:val="nil"/>
                  </w:tcBorders>
                </w:tcPr>
                <w:p w14:paraId="6609BDBF">
                  <w:pPr>
                    <w:pStyle w:val="33"/>
                    <w:rPr>
                      <w:color w:val="auto"/>
                    </w:rPr>
                  </w:pPr>
                  <w:r>
                    <w:rPr>
                      <w:color w:val="auto"/>
                    </w:rPr>
                    <w:t>C</w:t>
                  </w:r>
                  <w:r>
                    <w:rPr>
                      <w:rFonts w:hint="eastAsia"/>
                      <w:color w:val="auto"/>
                    </w:rPr>
                    <w:t>26化学原料和化学制品制造业</w:t>
                  </w:r>
                </w:p>
              </w:tc>
            </w:tr>
            <w:tr w14:paraId="485747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7330D265">
                  <w:pPr>
                    <w:pStyle w:val="33"/>
                    <w:rPr>
                      <w:color w:val="auto"/>
                    </w:rPr>
                  </w:pPr>
                  <w:r>
                    <w:rPr>
                      <w:rFonts w:hint="eastAsia"/>
                      <w:color w:val="auto"/>
                    </w:rPr>
                    <w:t>10</w:t>
                  </w:r>
                </w:p>
              </w:tc>
              <w:tc>
                <w:tcPr>
                  <w:tcW w:w="5764" w:type="dxa"/>
                  <w:tcBorders>
                    <w:tl2br w:val="nil"/>
                    <w:tr2bl w:val="nil"/>
                  </w:tcBorders>
                </w:tcPr>
                <w:p w14:paraId="330455AB">
                  <w:pPr>
                    <w:pStyle w:val="33"/>
                    <w:rPr>
                      <w:color w:val="auto"/>
                    </w:rPr>
                  </w:pPr>
                  <w:r>
                    <w:rPr>
                      <w:color w:val="auto"/>
                    </w:rPr>
                    <w:t>C</w:t>
                  </w:r>
                  <w:r>
                    <w:rPr>
                      <w:rFonts w:hint="eastAsia"/>
                      <w:color w:val="auto"/>
                    </w:rPr>
                    <w:t>2710化学药品原料药制造；C2720化学药品制剂制造；C2750兽用药品制造</w:t>
                  </w:r>
                </w:p>
              </w:tc>
            </w:tr>
            <w:tr w14:paraId="1268DC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574CC370">
                  <w:pPr>
                    <w:pStyle w:val="33"/>
                    <w:rPr>
                      <w:color w:val="auto"/>
                    </w:rPr>
                  </w:pPr>
                  <w:r>
                    <w:rPr>
                      <w:rFonts w:hint="eastAsia"/>
                      <w:color w:val="auto"/>
                    </w:rPr>
                    <w:t>11</w:t>
                  </w:r>
                </w:p>
              </w:tc>
              <w:tc>
                <w:tcPr>
                  <w:tcW w:w="5764" w:type="dxa"/>
                  <w:tcBorders>
                    <w:tl2br w:val="nil"/>
                    <w:tr2bl w:val="nil"/>
                  </w:tcBorders>
                </w:tcPr>
                <w:p w14:paraId="36F28F1B">
                  <w:pPr>
                    <w:pStyle w:val="33"/>
                    <w:rPr>
                      <w:color w:val="auto"/>
                    </w:rPr>
                  </w:pPr>
                  <w:r>
                    <w:rPr>
                      <w:color w:val="auto"/>
                    </w:rPr>
                    <w:t>C</w:t>
                  </w:r>
                  <w:r>
                    <w:rPr>
                      <w:rFonts w:hint="eastAsia"/>
                      <w:color w:val="auto"/>
                    </w:rPr>
                    <w:t>28化学纤维制造业</w:t>
                  </w:r>
                </w:p>
              </w:tc>
            </w:tr>
            <w:tr w14:paraId="1C8121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5BDEC361">
                  <w:pPr>
                    <w:pStyle w:val="33"/>
                    <w:rPr>
                      <w:color w:val="auto"/>
                    </w:rPr>
                  </w:pPr>
                  <w:r>
                    <w:rPr>
                      <w:rFonts w:hint="eastAsia"/>
                      <w:color w:val="auto"/>
                    </w:rPr>
                    <w:t>12</w:t>
                  </w:r>
                </w:p>
              </w:tc>
              <w:tc>
                <w:tcPr>
                  <w:tcW w:w="5764" w:type="dxa"/>
                  <w:tcBorders>
                    <w:tl2br w:val="nil"/>
                    <w:tr2bl w:val="nil"/>
                  </w:tcBorders>
                </w:tcPr>
                <w:p w14:paraId="0BFA4DA3">
                  <w:pPr>
                    <w:pStyle w:val="33"/>
                    <w:rPr>
                      <w:color w:val="auto"/>
                    </w:rPr>
                  </w:pPr>
                  <w:r>
                    <w:rPr>
                      <w:color w:val="auto"/>
                    </w:rPr>
                    <w:t>C</w:t>
                  </w:r>
                  <w:r>
                    <w:rPr>
                      <w:rFonts w:hint="eastAsia"/>
                      <w:color w:val="auto"/>
                    </w:rPr>
                    <w:t>301水泥、石灰和石膏制造；C3041平板玻璃制造</w:t>
                  </w:r>
                </w:p>
              </w:tc>
            </w:tr>
            <w:tr w14:paraId="037758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20E2E00B">
                  <w:pPr>
                    <w:pStyle w:val="33"/>
                    <w:rPr>
                      <w:color w:val="auto"/>
                    </w:rPr>
                  </w:pPr>
                  <w:r>
                    <w:rPr>
                      <w:rFonts w:hint="eastAsia"/>
                      <w:color w:val="auto"/>
                    </w:rPr>
                    <w:t>13</w:t>
                  </w:r>
                </w:p>
              </w:tc>
              <w:tc>
                <w:tcPr>
                  <w:tcW w:w="5764" w:type="dxa"/>
                  <w:tcBorders>
                    <w:tl2br w:val="nil"/>
                    <w:tr2bl w:val="nil"/>
                  </w:tcBorders>
                </w:tcPr>
                <w:p w14:paraId="3AB9C2EA">
                  <w:pPr>
                    <w:pStyle w:val="33"/>
                    <w:rPr>
                      <w:color w:val="auto"/>
                    </w:rPr>
                  </w:pPr>
                  <w:r>
                    <w:rPr>
                      <w:color w:val="auto"/>
                    </w:rPr>
                    <w:t>C</w:t>
                  </w:r>
                  <w:r>
                    <w:rPr>
                      <w:rFonts w:hint="eastAsia"/>
                      <w:color w:val="auto"/>
                    </w:rPr>
                    <w:t>31黑色金属冶炼和压延加工业</w:t>
                  </w:r>
                </w:p>
              </w:tc>
            </w:tr>
            <w:tr w14:paraId="525E69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1484A01B">
                  <w:pPr>
                    <w:pStyle w:val="33"/>
                    <w:rPr>
                      <w:color w:val="auto"/>
                    </w:rPr>
                  </w:pPr>
                  <w:r>
                    <w:rPr>
                      <w:rFonts w:hint="eastAsia"/>
                      <w:color w:val="auto"/>
                    </w:rPr>
                    <w:t>14</w:t>
                  </w:r>
                </w:p>
              </w:tc>
              <w:tc>
                <w:tcPr>
                  <w:tcW w:w="5764" w:type="dxa"/>
                  <w:tcBorders>
                    <w:tl2br w:val="nil"/>
                    <w:tr2bl w:val="nil"/>
                  </w:tcBorders>
                </w:tcPr>
                <w:p w14:paraId="3EFEDC83">
                  <w:pPr>
                    <w:pStyle w:val="33"/>
                    <w:rPr>
                      <w:color w:val="auto"/>
                    </w:rPr>
                  </w:pPr>
                  <w:r>
                    <w:rPr>
                      <w:color w:val="auto"/>
                    </w:rPr>
                    <w:t>C</w:t>
                  </w:r>
                  <w:r>
                    <w:rPr>
                      <w:rFonts w:hint="eastAsia"/>
                      <w:color w:val="auto"/>
                    </w:rPr>
                    <w:t>32有色金属冶炼和压延加工业</w:t>
                  </w:r>
                </w:p>
              </w:tc>
            </w:tr>
            <w:tr w14:paraId="0A9FD7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0B14743D">
                  <w:pPr>
                    <w:pStyle w:val="33"/>
                    <w:rPr>
                      <w:color w:val="auto"/>
                    </w:rPr>
                  </w:pPr>
                  <w:r>
                    <w:rPr>
                      <w:rFonts w:hint="eastAsia"/>
                      <w:color w:val="auto"/>
                    </w:rPr>
                    <w:t>15</w:t>
                  </w:r>
                </w:p>
              </w:tc>
              <w:tc>
                <w:tcPr>
                  <w:tcW w:w="5764" w:type="dxa"/>
                  <w:tcBorders>
                    <w:tl2br w:val="nil"/>
                    <w:tr2bl w:val="nil"/>
                  </w:tcBorders>
                </w:tcPr>
                <w:p w14:paraId="2ABC0886">
                  <w:pPr>
                    <w:pStyle w:val="33"/>
                    <w:rPr>
                      <w:color w:val="auto"/>
                    </w:rPr>
                  </w:pPr>
                  <w:r>
                    <w:rPr>
                      <w:color w:val="auto"/>
                    </w:rPr>
                    <w:t>C</w:t>
                  </w:r>
                  <w:r>
                    <w:rPr>
                      <w:rFonts w:hint="eastAsia"/>
                      <w:color w:val="auto"/>
                    </w:rPr>
                    <w:t>384电池制造</w:t>
                  </w:r>
                </w:p>
              </w:tc>
            </w:tr>
            <w:tr w14:paraId="27FC07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14:paraId="31209C0D">
                  <w:pPr>
                    <w:pStyle w:val="33"/>
                    <w:rPr>
                      <w:color w:val="auto"/>
                    </w:rPr>
                  </w:pPr>
                  <w:r>
                    <w:rPr>
                      <w:rFonts w:hint="eastAsia"/>
                      <w:color w:val="auto"/>
                    </w:rPr>
                    <w:t>16</w:t>
                  </w:r>
                </w:p>
              </w:tc>
              <w:tc>
                <w:tcPr>
                  <w:tcW w:w="5764" w:type="dxa"/>
                  <w:tcBorders>
                    <w:tl2br w:val="nil"/>
                    <w:tr2bl w:val="nil"/>
                  </w:tcBorders>
                </w:tcPr>
                <w:p w14:paraId="4B0F60A9">
                  <w:pPr>
                    <w:pStyle w:val="33"/>
                    <w:rPr>
                      <w:color w:val="auto"/>
                    </w:rPr>
                  </w:pPr>
                  <w:r>
                    <w:rPr>
                      <w:color w:val="auto"/>
                    </w:rPr>
                    <w:t>C</w:t>
                  </w:r>
                  <w:r>
                    <w:rPr>
                      <w:rFonts w:hint="eastAsia"/>
                      <w:color w:val="auto"/>
                    </w:rPr>
                    <w:t>4120核辐射加工</w:t>
                  </w:r>
                </w:p>
              </w:tc>
            </w:tr>
          </w:tbl>
          <w:p w14:paraId="0AAE92D2">
            <w:pPr>
              <w:pStyle w:val="35"/>
              <w:rPr>
                <w:rFonts w:hint="default"/>
                <w:color w:val="auto"/>
              </w:rPr>
            </w:pPr>
            <w:r>
              <w:rPr>
                <w:color w:val="auto"/>
              </w:rPr>
              <w:t>表1-3 新兴工业集中区产业准入正面清单</w:t>
            </w:r>
          </w:p>
          <w:tbl>
            <w:tblPr>
              <w:tblStyle w:val="17"/>
              <w:tblW w:w="675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2655"/>
              <w:gridCol w:w="1095"/>
              <w:gridCol w:w="1964"/>
            </w:tblGrid>
            <w:tr w14:paraId="17E106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tcBorders>
                    <w:tl2br w:val="nil"/>
                    <w:tr2bl w:val="nil"/>
                  </w:tcBorders>
                  <w:vAlign w:val="center"/>
                </w:tcPr>
                <w:p w14:paraId="664325BA">
                  <w:pPr>
                    <w:pStyle w:val="33"/>
                    <w:rPr>
                      <w:color w:val="auto"/>
                    </w:rPr>
                  </w:pPr>
                  <w:r>
                    <w:rPr>
                      <w:rFonts w:hint="eastAsia"/>
                      <w:color w:val="auto"/>
                    </w:rPr>
                    <w:t>规划期规划产业</w:t>
                  </w:r>
                </w:p>
              </w:tc>
              <w:tc>
                <w:tcPr>
                  <w:tcW w:w="2655" w:type="dxa"/>
                  <w:tcBorders>
                    <w:tl2br w:val="nil"/>
                    <w:tr2bl w:val="nil"/>
                  </w:tcBorders>
                  <w:vAlign w:val="center"/>
                </w:tcPr>
                <w:p w14:paraId="390B4D8D">
                  <w:pPr>
                    <w:pStyle w:val="33"/>
                    <w:rPr>
                      <w:color w:val="auto"/>
                    </w:rPr>
                  </w:pPr>
                  <w:r>
                    <w:rPr>
                      <w:rFonts w:hint="eastAsia"/>
                      <w:color w:val="auto"/>
                    </w:rPr>
                    <w:t>总体要求</w:t>
                  </w:r>
                </w:p>
              </w:tc>
              <w:tc>
                <w:tcPr>
                  <w:tcW w:w="1095" w:type="dxa"/>
                  <w:tcBorders>
                    <w:tl2br w:val="nil"/>
                    <w:tr2bl w:val="nil"/>
                  </w:tcBorders>
                  <w:vAlign w:val="center"/>
                </w:tcPr>
                <w:p w14:paraId="01AAF32B">
                  <w:pPr>
                    <w:pStyle w:val="33"/>
                    <w:rPr>
                      <w:color w:val="auto"/>
                    </w:rPr>
                  </w:pPr>
                  <w:r>
                    <w:rPr>
                      <w:rFonts w:hint="eastAsia"/>
                      <w:color w:val="auto"/>
                    </w:rPr>
                    <w:t>行业要求</w:t>
                  </w:r>
                </w:p>
              </w:tc>
              <w:tc>
                <w:tcPr>
                  <w:tcW w:w="1964" w:type="dxa"/>
                  <w:tcBorders>
                    <w:tl2br w:val="nil"/>
                    <w:tr2bl w:val="nil"/>
                  </w:tcBorders>
                  <w:vAlign w:val="center"/>
                </w:tcPr>
                <w:p w14:paraId="163F5D0A">
                  <w:pPr>
                    <w:pStyle w:val="33"/>
                    <w:rPr>
                      <w:color w:val="auto"/>
                    </w:rPr>
                  </w:pPr>
                  <w:r>
                    <w:rPr>
                      <w:rFonts w:hint="eastAsia"/>
                      <w:color w:val="auto"/>
                    </w:rPr>
                    <w:t>《国民经济行业分类》类别名称</w:t>
                  </w:r>
                </w:p>
              </w:tc>
            </w:tr>
            <w:tr w14:paraId="0ACEC6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tcBorders>
                    <w:tl2br w:val="nil"/>
                    <w:tr2bl w:val="nil"/>
                  </w:tcBorders>
                  <w:vAlign w:val="center"/>
                </w:tcPr>
                <w:p w14:paraId="2ECCD47C">
                  <w:pPr>
                    <w:pStyle w:val="33"/>
                    <w:rPr>
                      <w:color w:val="auto"/>
                    </w:rPr>
                  </w:pPr>
                  <w:r>
                    <w:rPr>
                      <w:rFonts w:hint="eastAsia"/>
                      <w:color w:val="auto"/>
                    </w:rPr>
                    <w:t>食品加工</w:t>
                  </w:r>
                </w:p>
              </w:tc>
              <w:tc>
                <w:tcPr>
                  <w:tcW w:w="2655" w:type="dxa"/>
                  <w:vMerge w:val="restart"/>
                  <w:tcBorders>
                    <w:tl2br w:val="nil"/>
                    <w:tr2bl w:val="nil"/>
                  </w:tcBorders>
                  <w:vAlign w:val="center"/>
                </w:tcPr>
                <w:p w14:paraId="03005FA2">
                  <w:pPr>
                    <w:pStyle w:val="33"/>
                    <w:jc w:val="both"/>
                    <w:rPr>
                      <w:color w:val="auto"/>
                    </w:rPr>
                  </w:pPr>
                  <w:r>
                    <w:rPr>
                      <w:rFonts w:hint="eastAsia"/>
                      <w:color w:val="auto"/>
                    </w:rPr>
                    <w:t>1.禁止建设国家现行产业政策明令限制、禁止或淘汰的项目、产能严重过剩行业项目、落后生产工艺或设备、落后生产能力项目。</w:t>
                  </w:r>
                </w:p>
                <w:p w14:paraId="40618160">
                  <w:pPr>
                    <w:pStyle w:val="33"/>
                    <w:jc w:val="both"/>
                    <w:rPr>
                      <w:color w:val="auto"/>
                    </w:rPr>
                  </w:pPr>
                  <w:r>
                    <w:rPr>
                      <w:rFonts w:hint="eastAsia"/>
                      <w:color w:val="auto"/>
                    </w:rPr>
                    <w:t>2.禁止建设高能耗、高污染、高资源、高环境风险的项目；禁止生产、使用及排放含氰化合物、多氯联苯、多溴联苯、二噁英等致癌、致畸、致突变的高毒物质。</w:t>
                  </w:r>
                </w:p>
                <w:p w14:paraId="77AD0A34">
                  <w:pPr>
                    <w:pStyle w:val="33"/>
                    <w:jc w:val="both"/>
                    <w:rPr>
                      <w:color w:val="auto"/>
                    </w:rPr>
                  </w:pPr>
                  <w:r>
                    <w:rPr>
                      <w:rFonts w:hint="eastAsia"/>
                      <w:color w:val="auto"/>
                    </w:rPr>
                    <w:t>3.禁止新建危险废物集中处置、工业废物集中处置、生活垃圾集中处置场所。</w:t>
                  </w:r>
                </w:p>
                <w:p w14:paraId="446D64ED">
                  <w:pPr>
                    <w:pStyle w:val="33"/>
                    <w:jc w:val="both"/>
                    <w:rPr>
                      <w:color w:val="auto"/>
                    </w:rPr>
                  </w:pPr>
                  <w:r>
                    <w:rPr>
                      <w:rFonts w:hint="eastAsia"/>
                      <w:color w:val="auto"/>
                    </w:rPr>
                    <w:t>4.禁止建设废水经预处理达不到污水处理厂接管标准的项目。</w:t>
                  </w:r>
                </w:p>
                <w:p w14:paraId="33C5B1A3">
                  <w:pPr>
                    <w:pStyle w:val="33"/>
                    <w:jc w:val="both"/>
                    <w:rPr>
                      <w:color w:val="auto"/>
                    </w:rPr>
                  </w:pPr>
                  <w:r>
                    <w:rPr>
                      <w:rFonts w:hint="eastAsia"/>
                      <w:color w:val="auto"/>
                    </w:rPr>
                    <w:t xml:space="preserve">5.工业企业大气防护距离或者卫生防护距离范围内不应布设有居住、学校、医院等环境敏感保护目标。 </w:t>
                  </w:r>
                </w:p>
                <w:p w14:paraId="423C9660">
                  <w:pPr>
                    <w:pStyle w:val="33"/>
                    <w:jc w:val="both"/>
                    <w:rPr>
                      <w:color w:val="auto"/>
                    </w:rPr>
                  </w:pPr>
                  <w:r>
                    <w:rPr>
                      <w:rFonts w:hint="eastAsia"/>
                      <w:color w:val="auto"/>
                    </w:rPr>
                    <w:t>6.禁止建设《产业结构调整指导目录（2019年本）》、《广西工业产业结构调整指导目录（2021年本）》中限制类、淘汰类项目。</w:t>
                  </w:r>
                </w:p>
              </w:tc>
              <w:tc>
                <w:tcPr>
                  <w:tcW w:w="1095" w:type="dxa"/>
                  <w:tcBorders>
                    <w:tl2br w:val="nil"/>
                    <w:tr2bl w:val="nil"/>
                  </w:tcBorders>
                  <w:vAlign w:val="center"/>
                </w:tcPr>
                <w:p w14:paraId="2961CAC0">
                  <w:pPr>
                    <w:pStyle w:val="33"/>
                    <w:rPr>
                      <w:color w:val="auto"/>
                    </w:rPr>
                  </w:pPr>
                  <w:r>
                    <w:rPr>
                      <w:rFonts w:hint="eastAsia"/>
                      <w:color w:val="auto"/>
                    </w:rPr>
                    <w:t>禁止发酵工艺</w:t>
                  </w:r>
                </w:p>
              </w:tc>
              <w:tc>
                <w:tcPr>
                  <w:tcW w:w="1964" w:type="dxa"/>
                  <w:tcBorders>
                    <w:tl2br w:val="nil"/>
                    <w:tr2bl w:val="nil"/>
                  </w:tcBorders>
                  <w:vAlign w:val="center"/>
                </w:tcPr>
                <w:p w14:paraId="27ABF47A">
                  <w:pPr>
                    <w:pStyle w:val="33"/>
                    <w:rPr>
                      <w:color w:val="auto"/>
                    </w:rPr>
                  </w:pPr>
                  <w:r>
                    <w:rPr>
                      <w:rFonts w:hint="eastAsia"/>
                      <w:color w:val="auto"/>
                    </w:rPr>
                    <w:t>C143方便食品制造</w:t>
                  </w:r>
                </w:p>
              </w:tc>
            </w:tr>
            <w:tr w14:paraId="512D84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restart"/>
                  <w:tcBorders>
                    <w:tl2br w:val="nil"/>
                    <w:tr2bl w:val="nil"/>
                  </w:tcBorders>
                  <w:vAlign w:val="center"/>
                </w:tcPr>
                <w:p w14:paraId="3994E491">
                  <w:pPr>
                    <w:pStyle w:val="33"/>
                    <w:rPr>
                      <w:color w:val="auto"/>
                    </w:rPr>
                  </w:pPr>
                  <w:r>
                    <w:rPr>
                      <w:rFonts w:hint="eastAsia"/>
                      <w:color w:val="auto"/>
                    </w:rPr>
                    <w:t>大健康</w:t>
                  </w:r>
                </w:p>
              </w:tc>
              <w:tc>
                <w:tcPr>
                  <w:tcW w:w="2655" w:type="dxa"/>
                  <w:vMerge w:val="continue"/>
                  <w:tcBorders>
                    <w:tl2br w:val="nil"/>
                    <w:tr2bl w:val="nil"/>
                  </w:tcBorders>
                  <w:vAlign w:val="center"/>
                </w:tcPr>
                <w:p w14:paraId="20116811">
                  <w:pPr>
                    <w:pStyle w:val="33"/>
                    <w:rPr>
                      <w:color w:val="auto"/>
                    </w:rPr>
                  </w:pPr>
                </w:p>
              </w:tc>
              <w:tc>
                <w:tcPr>
                  <w:tcW w:w="1095" w:type="dxa"/>
                  <w:vMerge w:val="restart"/>
                  <w:tcBorders>
                    <w:tl2br w:val="nil"/>
                    <w:tr2bl w:val="nil"/>
                  </w:tcBorders>
                  <w:vAlign w:val="center"/>
                </w:tcPr>
                <w:p w14:paraId="56D22266">
                  <w:pPr>
                    <w:pStyle w:val="33"/>
                    <w:rPr>
                      <w:color w:val="auto"/>
                    </w:rPr>
                  </w:pPr>
                  <w:r>
                    <w:rPr>
                      <w:rFonts w:hint="eastAsia"/>
                      <w:color w:val="auto"/>
                    </w:rPr>
                    <w:t>禁止涉及有机化工工艺</w:t>
                  </w:r>
                </w:p>
              </w:tc>
              <w:tc>
                <w:tcPr>
                  <w:tcW w:w="1964" w:type="dxa"/>
                  <w:tcBorders>
                    <w:tl2br w:val="nil"/>
                    <w:tr2bl w:val="nil"/>
                  </w:tcBorders>
                  <w:vAlign w:val="center"/>
                </w:tcPr>
                <w:p w14:paraId="567E952B">
                  <w:pPr>
                    <w:pStyle w:val="33"/>
                    <w:rPr>
                      <w:color w:val="auto"/>
                    </w:rPr>
                  </w:pPr>
                  <w:r>
                    <w:rPr>
                      <w:rFonts w:hint="eastAsia"/>
                      <w:color w:val="auto"/>
                    </w:rPr>
                    <w:t>C2730中药饮片加工</w:t>
                  </w:r>
                </w:p>
              </w:tc>
            </w:tr>
            <w:tr w14:paraId="08E37C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continue"/>
                  <w:tcBorders>
                    <w:tl2br w:val="nil"/>
                    <w:tr2bl w:val="nil"/>
                  </w:tcBorders>
                  <w:vAlign w:val="center"/>
                </w:tcPr>
                <w:p w14:paraId="5A52B240">
                  <w:pPr>
                    <w:pStyle w:val="33"/>
                    <w:rPr>
                      <w:color w:val="auto"/>
                    </w:rPr>
                  </w:pPr>
                </w:p>
              </w:tc>
              <w:tc>
                <w:tcPr>
                  <w:tcW w:w="2655" w:type="dxa"/>
                  <w:vMerge w:val="continue"/>
                  <w:tcBorders>
                    <w:tl2br w:val="nil"/>
                    <w:tr2bl w:val="nil"/>
                  </w:tcBorders>
                  <w:vAlign w:val="center"/>
                </w:tcPr>
                <w:p w14:paraId="318D15C5">
                  <w:pPr>
                    <w:pStyle w:val="33"/>
                    <w:rPr>
                      <w:color w:val="auto"/>
                    </w:rPr>
                  </w:pPr>
                </w:p>
              </w:tc>
              <w:tc>
                <w:tcPr>
                  <w:tcW w:w="1095" w:type="dxa"/>
                  <w:vMerge w:val="continue"/>
                  <w:tcBorders>
                    <w:tl2br w:val="nil"/>
                    <w:tr2bl w:val="nil"/>
                  </w:tcBorders>
                  <w:vAlign w:val="center"/>
                </w:tcPr>
                <w:p w14:paraId="0C88FC37">
                  <w:pPr>
                    <w:pStyle w:val="33"/>
                    <w:rPr>
                      <w:color w:val="auto"/>
                    </w:rPr>
                  </w:pPr>
                </w:p>
              </w:tc>
              <w:tc>
                <w:tcPr>
                  <w:tcW w:w="1964" w:type="dxa"/>
                  <w:tcBorders>
                    <w:tl2br w:val="nil"/>
                    <w:tr2bl w:val="nil"/>
                  </w:tcBorders>
                  <w:vAlign w:val="center"/>
                </w:tcPr>
                <w:p w14:paraId="7E406EB1">
                  <w:pPr>
                    <w:pStyle w:val="33"/>
                    <w:rPr>
                      <w:color w:val="auto"/>
                    </w:rPr>
                  </w:pPr>
                  <w:r>
                    <w:rPr>
                      <w:rFonts w:hint="eastAsia"/>
                      <w:color w:val="auto"/>
                    </w:rPr>
                    <w:t>C3740中成药制造</w:t>
                  </w:r>
                </w:p>
              </w:tc>
            </w:tr>
            <w:tr w14:paraId="1F8051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continue"/>
                  <w:tcBorders>
                    <w:tl2br w:val="nil"/>
                    <w:tr2bl w:val="nil"/>
                  </w:tcBorders>
                  <w:vAlign w:val="center"/>
                </w:tcPr>
                <w:p w14:paraId="1A31F25B">
                  <w:pPr>
                    <w:pStyle w:val="33"/>
                    <w:rPr>
                      <w:color w:val="auto"/>
                    </w:rPr>
                  </w:pPr>
                </w:p>
              </w:tc>
              <w:tc>
                <w:tcPr>
                  <w:tcW w:w="2655" w:type="dxa"/>
                  <w:vMerge w:val="continue"/>
                  <w:tcBorders>
                    <w:tl2br w:val="nil"/>
                    <w:tr2bl w:val="nil"/>
                  </w:tcBorders>
                  <w:vAlign w:val="center"/>
                </w:tcPr>
                <w:p w14:paraId="092B3ED1">
                  <w:pPr>
                    <w:pStyle w:val="33"/>
                    <w:rPr>
                      <w:color w:val="auto"/>
                    </w:rPr>
                  </w:pPr>
                </w:p>
              </w:tc>
              <w:tc>
                <w:tcPr>
                  <w:tcW w:w="1095" w:type="dxa"/>
                  <w:vMerge w:val="continue"/>
                  <w:tcBorders>
                    <w:tl2br w:val="nil"/>
                    <w:tr2bl w:val="nil"/>
                  </w:tcBorders>
                  <w:vAlign w:val="center"/>
                </w:tcPr>
                <w:p w14:paraId="5B157C6A">
                  <w:pPr>
                    <w:pStyle w:val="33"/>
                    <w:rPr>
                      <w:color w:val="auto"/>
                    </w:rPr>
                  </w:pPr>
                </w:p>
              </w:tc>
              <w:tc>
                <w:tcPr>
                  <w:tcW w:w="1964" w:type="dxa"/>
                  <w:tcBorders>
                    <w:tl2br w:val="nil"/>
                    <w:tr2bl w:val="nil"/>
                  </w:tcBorders>
                  <w:vAlign w:val="center"/>
                </w:tcPr>
                <w:p w14:paraId="6252D9F4">
                  <w:pPr>
                    <w:pStyle w:val="33"/>
                    <w:rPr>
                      <w:color w:val="auto"/>
                    </w:rPr>
                  </w:pPr>
                  <w:r>
                    <w:rPr>
                      <w:rFonts w:hint="eastAsia"/>
                      <w:color w:val="auto"/>
                    </w:rPr>
                    <w:t>C276生物药品制造</w:t>
                  </w:r>
                </w:p>
              </w:tc>
            </w:tr>
            <w:tr w14:paraId="06FA4D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restart"/>
                  <w:tcBorders>
                    <w:tl2br w:val="nil"/>
                    <w:tr2bl w:val="nil"/>
                  </w:tcBorders>
                  <w:vAlign w:val="center"/>
                </w:tcPr>
                <w:p w14:paraId="18C7C410">
                  <w:pPr>
                    <w:pStyle w:val="33"/>
                    <w:rPr>
                      <w:color w:val="auto"/>
                    </w:rPr>
                  </w:pPr>
                  <w:r>
                    <w:rPr>
                      <w:rFonts w:hint="eastAsia"/>
                      <w:color w:val="auto"/>
                    </w:rPr>
                    <w:t>先进装备和机械制造、汽车零部件</w:t>
                  </w:r>
                </w:p>
              </w:tc>
              <w:tc>
                <w:tcPr>
                  <w:tcW w:w="2655" w:type="dxa"/>
                  <w:vMerge w:val="continue"/>
                  <w:tcBorders>
                    <w:tl2br w:val="nil"/>
                    <w:tr2bl w:val="nil"/>
                  </w:tcBorders>
                  <w:vAlign w:val="center"/>
                </w:tcPr>
                <w:p w14:paraId="42B94CFD">
                  <w:pPr>
                    <w:pStyle w:val="33"/>
                    <w:rPr>
                      <w:color w:val="auto"/>
                    </w:rPr>
                  </w:pPr>
                </w:p>
              </w:tc>
              <w:tc>
                <w:tcPr>
                  <w:tcW w:w="1095" w:type="dxa"/>
                  <w:vMerge w:val="restart"/>
                  <w:tcBorders>
                    <w:tl2br w:val="nil"/>
                    <w:tr2bl w:val="nil"/>
                  </w:tcBorders>
                  <w:vAlign w:val="center"/>
                </w:tcPr>
                <w:p w14:paraId="59CB6212">
                  <w:pPr>
                    <w:pStyle w:val="33"/>
                    <w:rPr>
                      <w:color w:val="auto"/>
                    </w:rPr>
                  </w:pPr>
                  <w:r>
                    <w:rPr>
                      <w:rFonts w:hint="eastAsia"/>
                      <w:color w:val="auto"/>
                    </w:rPr>
                    <w:t>禁止涉及电镀工序：使用低VOCs含量的涂料、胶粘剂、油墨</w:t>
                  </w:r>
                </w:p>
              </w:tc>
              <w:tc>
                <w:tcPr>
                  <w:tcW w:w="1964" w:type="dxa"/>
                  <w:tcBorders>
                    <w:tl2br w:val="nil"/>
                    <w:tr2bl w:val="nil"/>
                  </w:tcBorders>
                  <w:vAlign w:val="center"/>
                </w:tcPr>
                <w:p w14:paraId="6A7E3669">
                  <w:pPr>
                    <w:pStyle w:val="33"/>
                    <w:rPr>
                      <w:color w:val="auto"/>
                    </w:rPr>
                  </w:pPr>
                  <w:r>
                    <w:rPr>
                      <w:rFonts w:hint="eastAsia"/>
                      <w:color w:val="auto"/>
                    </w:rPr>
                    <w:t>C2912橡胶板、管、带制造</w:t>
                  </w:r>
                </w:p>
              </w:tc>
            </w:tr>
            <w:tr w14:paraId="311138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continue"/>
                  <w:tcBorders>
                    <w:tl2br w:val="nil"/>
                    <w:tr2bl w:val="nil"/>
                  </w:tcBorders>
                  <w:vAlign w:val="center"/>
                </w:tcPr>
                <w:p w14:paraId="4B71D0A3">
                  <w:pPr>
                    <w:pStyle w:val="33"/>
                    <w:rPr>
                      <w:color w:val="auto"/>
                    </w:rPr>
                  </w:pPr>
                </w:p>
              </w:tc>
              <w:tc>
                <w:tcPr>
                  <w:tcW w:w="2655" w:type="dxa"/>
                  <w:vMerge w:val="continue"/>
                  <w:tcBorders>
                    <w:tl2br w:val="nil"/>
                    <w:tr2bl w:val="nil"/>
                  </w:tcBorders>
                  <w:vAlign w:val="center"/>
                </w:tcPr>
                <w:p w14:paraId="685DCEE2">
                  <w:pPr>
                    <w:pStyle w:val="33"/>
                    <w:rPr>
                      <w:color w:val="auto"/>
                    </w:rPr>
                  </w:pPr>
                </w:p>
              </w:tc>
              <w:tc>
                <w:tcPr>
                  <w:tcW w:w="1095" w:type="dxa"/>
                  <w:vMerge w:val="continue"/>
                  <w:tcBorders>
                    <w:tl2br w:val="nil"/>
                    <w:tr2bl w:val="nil"/>
                  </w:tcBorders>
                  <w:vAlign w:val="center"/>
                </w:tcPr>
                <w:p w14:paraId="71D6B3DA">
                  <w:pPr>
                    <w:pStyle w:val="33"/>
                    <w:rPr>
                      <w:color w:val="auto"/>
                    </w:rPr>
                  </w:pPr>
                </w:p>
              </w:tc>
              <w:tc>
                <w:tcPr>
                  <w:tcW w:w="1964" w:type="dxa"/>
                  <w:tcBorders>
                    <w:tl2br w:val="nil"/>
                    <w:tr2bl w:val="nil"/>
                  </w:tcBorders>
                  <w:vAlign w:val="center"/>
                </w:tcPr>
                <w:p w14:paraId="54BEA6C8">
                  <w:pPr>
                    <w:pStyle w:val="33"/>
                    <w:rPr>
                      <w:color w:val="auto"/>
                    </w:rPr>
                  </w:pPr>
                  <w:r>
                    <w:rPr>
                      <w:rFonts w:hint="eastAsia"/>
                      <w:color w:val="auto"/>
                    </w:rPr>
                    <w:t>C2913橡胶零件制造</w:t>
                  </w:r>
                </w:p>
              </w:tc>
            </w:tr>
            <w:tr w14:paraId="431966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continue"/>
                  <w:tcBorders>
                    <w:tl2br w:val="nil"/>
                    <w:tr2bl w:val="nil"/>
                  </w:tcBorders>
                  <w:vAlign w:val="center"/>
                </w:tcPr>
                <w:p w14:paraId="7CBBCFE7">
                  <w:pPr>
                    <w:pStyle w:val="33"/>
                    <w:rPr>
                      <w:color w:val="auto"/>
                    </w:rPr>
                  </w:pPr>
                </w:p>
              </w:tc>
              <w:tc>
                <w:tcPr>
                  <w:tcW w:w="2655" w:type="dxa"/>
                  <w:vMerge w:val="continue"/>
                  <w:tcBorders>
                    <w:tl2br w:val="nil"/>
                    <w:tr2bl w:val="nil"/>
                  </w:tcBorders>
                  <w:vAlign w:val="center"/>
                </w:tcPr>
                <w:p w14:paraId="4C23D82A">
                  <w:pPr>
                    <w:pStyle w:val="33"/>
                    <w:rPr>
                      <w:color w:val="auto"/>
                    </w:rPr>
                  </w:pPr>
                </w:p>
              </w:tc>
              <w:tc>
                <w:tcPr>
                  <w:tcW w:w="1095" w:type="dxa"/>
                  <w:vMerge w:val="continue"/>
                  <w:tcBorders>
                    <w:tl2br w:val="nil"/>
                    <w:tr2bl w:val="nil"/>
                  </w:tcBorders>
                  <w:vAlign w:val="center"/>
                </w:tcPr>
                <w:p w14:paraId="162897DB">
                  <w:pPr>
                    <w:pStyle w:val="33"/>
                    <w:rPr>
                      <w:color w:val="auto"/>
                    </w:rPr>
                  </w:pPr>
                </w:p>
              </w:tc>
              <w:tc>
                <w:tcPr>
                  <w:tcW w:w="1964" w:type="dxa"/>
                  <w:tcBorders>
                    <w:tl2br w:val="nil"/>
                    <w:tr2bl w:val="nil"/>
                  </w:tcBorders>
                  <w:vAlign w:val="center"/>
                </w:tcPr>
                <w:p w14:paraId="2E5662CF">
                  <w:pPr>
                    <w:pStyle w:val="33"/>
                    <w:rPr>
                      <w:color w:val="auto"/>
                    </w:rPr>
                  </w:pPr>
                  <w:r>
                    <w:rPr>
                      <w:rFonts w:hint="eastAsia"/>
                      <w:color w:val="auto"/>
                    </w:rPr>
                    <w:t>C2915日用或医用橡胶制品制造</w:t>
                  </w:r>
                </w:p>
              </w:tc>
            </w:tr>
            <w:tr w14:paraId="3AF67E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continue"/>
                  <w:tcBorders>
                    <w:tl2br w:val="nil"/>
                    <w:tr2bl w:val="nil"/>
                  </w:tcBorders>
                  <w:vAlign w:val="center"/>
                </w:tcPr>
                <w:p w14:paraId="4070E6E5">
                  <w:pPr>
                    <w:pStyle w:val="33"/>
                    <w:rPr>
                      <w:color w:val="auto"/>
                    </w:rPr>
                  </w:pPr>
                </w:p>
              </w:tc>
              <w:tc>
                <w:tcPr>
                  <w:tcW w:w="2655" w:type="dxa"/>
                  <w:vMerge w:val="continue"/>
                  <w:tcBorders>
                    <w:tl2br w:val="nil"/>
                    <w:tr2bl w:val="nil"/>
                  </w:tcBorders>
                  <w:vAlign w:val="center"/>
                </w:tcPr>
                <w:p w14:paraId="4656BB47">
                  <w:pPr>
                    <w:pStyle w:val="33"/>
                    <w:rPr>
                      <w:color w:val="auto"/>
                    </w:rPr>
                  </w:pPr>
                </w:p>
              </w:tc>
              <w:tc>
                <w:tcPr>
                  <w:tcW w:w="1095" w:type="dxa"/>
                  <w:vMerge w:val="continue"/>
                  <w:tcBorders>
                    <w:tl2br w:val="nil"/>
                    <w:tr2bl w:val="nil"/>
                  </w:tcBorders>
                  <w:vAlign w:val="center"/>
                </w:tcPr>
                <w:p w14:paraId="085B75B4">
                  <w:pPr>
                    <w:pStyle w:val="33"/>
                    <w:rPr>
                      <w:color w:val="auto"/>
                    </w:rPr>
                  </w:pPr>
                </w:p>
              </w:tc>
              <w:tc>
                <w:tcPr>
                  <w:tcW w:w="1964" w:type="dxa"/>
                  <w:tcBorders>
                    <w:tl2br w:val="nil"/>
                    <w:tr2bl w:val="nil"/>
                  </w:tcBorders>
                  <w:vAlign w:val="center"/>
                </w:tcPr>
                <w:p w14:paraId="37BF24E0">
                  <w:pPr>
                    <w:pStyle w:val="33"/>
                    <w:rPr>
                      <w:color w:val="auto"/>
                    </w:rPr>
                  </w:pPr>
                  <w:r>
                    <w:rPr>
                      <w:rFonts w:hint="eastAsia"/>
                      <w:color w:val="auto"/>
                    </w:rPr>
                    <w:t>C2922塑料板、管、型材制造</w:t>
                  </w:r>
                </w:p>
              </w:tc>
            </w:tr>
            <w:tr w14:paraId="7D61B0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continue"/>
                  <w:tcBorders>
                    <w:tl2br w:val="nil"/>
                    <w:tr2bl w:val="nil"/>
                  </w:tcBorders>
                  <w:vAlign w:val="center"/>
                </w:tcPr>
                <w:p w14:paraId="1D6CD34D">
                  <w:pPr>
                    <w:pStyle w:val="33"/>
                    <w:rPr>
                      <w:color w:val="auto"/>
                    </w:rPr>
                  </w:pPr>
                </w:p>
              </w:tc>
              <w:tc>
                <w:tcPr>
                  <w:tcW w:w="2655" w:type="dxa"/>
                  <w:vMerge w:val="continue"/>
                  <w:tcBorders>
                    <w:tl2br w:val="nil"/>
                    <w:tr2bl w:val="nil"/>
                  </w:tcBorders>
                  <w:vAlign w:val="center"/>
                </w:tcPr>
                <w:p w14:paraId="72F2F89A">
                  <w:pPr>
                    <w:pStyle w:val="33"/>
                    <w:rPr>
                      <w:color w:val="auto"/>
                    </w:rPr>
                  </w:pPr>
                </w:p>
              </w:tc>
              <w:tc>
                <w:tcPr>
                  <w:tcW w:w="1095" w:type="dxa"/>
                  <w:vMerge w:val="continue"/>
                  <w:tcBorders>
                    <w:tl2br w:val="nil"/>
                    <w:tr2bl w:val="nil"/>
                  </w:tcBorders>
                  <w:vAlign w:val="center"/>
                </w:tcPr>
                <w:p w14:paraId="6E381EA8">
                  <w:pPr>
                    <w:pStyle w:val="33"/>
                    <w:rPr>
                      <w:color w:val="auto"/>
                    </w:rPr>
                  </w:pPr>
                </w:p>
              </w:tc>
              <w:tc>
                <w:tcPr>
                  <w:tcW w:w="1964" w:type="dxa"/>
                  <w:tcBorders>
                    <w:tl2br w:val="nil"/>
                    <w:tr2bl w:val="nil"/>
                  </w:tcBorders>
                  <w:vAlign w:val="center"/>
                </w:tcPr>
                <w:p w14:paraId="79FD16D4">
                  <w:pPr>
                    <w:pStyle w:val="33"/>
                    <w:rPr>
                      <w:color w:val="auto"/>
                    </w:rPr>
                  </w:pPr>
                  <w:r>
                    <w:rPr>
                      <w:rFonts w:hint="eastAsia"/>
                      <w:color w:val="auto"/>
                    </w:rPr>
                    <w:t>C2929塑料零件及其他塑料制品制造</w:t>
                  </w:r>
                </w:p>
              </w:tc>
            </w:tr>
            <w:tr w14:paraId="698E1A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continue"/>
                  <w:tcBorders>
                    <w:tl2br w:val="nil"/>
                    <w:tr2bl w:val="nil"/>
                  </w:tcBorders>
                  <w:vAlign w:val="center"/>
                </w:tcPr>
                <w:p w14:paraId="27B6ADAF">
                  <w:pPr>
                    <w:pStyle w:val="33"/>
                    <w:rPr>
                      <w:color w:val="auto"/>
                    </w:rPr>
                  </w:pPr>
                </w:p>
              </w:tc>
              <w:tc>
                <w:tcPr>
                  <w:tcW w:w="2655" w:type="dxa"/>
                  <w:vMerge w:val="continue"/>
                  <w:tcBorders>
                    <w:tl2br w:val="nil"/>
                    <w:tr2bl w:val="nil"/>
                  </w:tcBorders>
                  <w:vAlign w:val="center"/>
                </w:tcPr>
                <w:p w14:paraId="2631CF58">
                  <w:pPr>
                    <w:pStyle w:val="33"/>
                    <w:rPr>
                      <w:color w:val="auto"/>
                    </w:rPr>
                  </w:pPr>
                </w:p>
              </w:tc>
              <w:tc>
                <w:tcPr>
                  <w:tcW w:w="1095" w:type="dxa"/>
                  <w:vMerge w:val="continue"/>
                  <w:tcBorders>
                    <w:tl2br w:val="nil"/>
                    <w:tr2bl w:val="nil"/>
                  </w:tcBorders>
                  <w:vAlign w:val="center"/>
                </w:tcPr>
                <w:p w14:paraId="5FEC225B">
                  <w:pPr>
                    <w:pStyle w:val="33"/>
                    <w:rPr>
                      <w:color w:val="auto"/>
                    </w:rPr>
                  </w:pPr>
                </w:p>
              </w:tc>
              <w:tc>
                <w:tcPr>
                  <w:tcW w:w="1964" w:type="dxa"/>
                  <w:tcBorders>
                    <w:tl2br w:val="nil"/>
                    <w:tr2bl w:val="nil"/>
                  </w:tcBorders>
                  <w:vAlign w:val="center"/>
                </w:tcPr>
                <w:p w14:paraId="00EEF087">
                  <w:pPr>
                    <w:pStyle w:val="33"/>
                    <w:rPr>
                      <w:color w:val="auto"/>
                    </w:rPr>
                  </w:pPr>
                  <w:r>
                    <w:rPr>
                      <w:rFonts w:hint="eastAsia"/>
                      <w:color w:val="auto"/>
                    </w:rPr>
                    <w:t>C34通用设备制造业</w:t>
                  </w:r>
                </w:p>
              </w:tc>
            </w:tr>
            <w:tr w14:paraId="259388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continue"/>
                  <w:tcBorders>
                    <w:tl2br w:val="nil"/>
                    <w:tr2bl w:val="nil"/>
                  </w:tcBorders>
                  <w:vAlign w:val="center"/>
                </w:tcPr>
                <w:p w14:paraId="0BAE8C12">
                  <w:pPr>
                    <w:pStyle w:val="33"/>
                    <w:rPr>
                      <w:color w:val="auto"/>
                    </w:rPr>
                  </w:pPr>
                </w:p>
              </w:tc>
              <w:tc>
                <w:tcPr>
                  <w:tcW w:w="2655" w:type="dxa"/>
                  <w:vMerge w:val="continue"/>
                  <w:tcBorders>
                    <w:tl2br w:val="nil"/>
                    <w:tr2bl w:val="nil"/>
                  </w:tcBorders>
                  <w:vAlign w:val="center"/>
                </w:tcPr>
                <w:p w14:paraId="42404EE7">
                  <w:pPr>
                    <w:pStyle w:val="33"/>
                    <w:rPr>
                      <w:color w:val="auto"/>
                    </w:rPr>
                  </w:pPr>
                </w:p>
              </w:tc>
              <w:tc>
                <w:tcPr>
                  <w:tcW w:w="1095" w:type="dxa"/>
                  <w:vMerge w:val="continue"/>
                  <w:tcBorders>
                    <w:tl2br w:val="nil"/>
                    <w:tr2bl w:val="nil"/>
                  </w:tcBorders>
                  <w:vAlign w:val="center"/>
                </w:tcPr>
                <w:p w14:paraId="381FCEE2">
                  <w:pPr>
                    <w:pStyle w:val="33"/>
                    <w:rPr>
                      <w:color w:val="auto"/>
                    </w:rPr>
                  </w:pPr>
                </w:p>
              </w:tc>
              <w:tc>
                <w:tcPr>
                  <w:tcW w:w="1964" w:type="dxa"/>
                  <w:tcBorders>
                    <w:tl2br w:val="nil"/>
                    <w:tr2bl w:val="nil"/>
                  </w:tcBorders>
                  <w:vAlign w:val="center"/>
                </w:tcPr>
                <w:p w14:paraId="37507B36">
                  <w:pPr>
                    <w:pStyle w:val="33"/>
                    <w:rPr>
                      <w:color w:val="auto"/>
                    </w:rPr>
                  </w:pPr>
                  <w:r>
                    <w:rPr>
                      <w:rFonts w:hint="eastAsia"/>
                      <w:color w:val="auto"/>
                    </w:rPr>
                    <w:t>C35专用设备制造业</w:t>
                  </w:r>
                </w:p>
              </w:tc>
            </w:tr>
            <w:tr w14:paraId="1DF60E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continue"/>
                  <w:tcBorders>
                    <w:tl2br w:val="nil"/>
                    <w:tr2bl w:val="nil"/>
                  </w:tcBorders>
                  <w:vAlign w:val="center"/>
                </w:tcPr>
                <w:p w14:paraId="27EA836F">
                  <w:pPr>
                    <w:pStyle w:val="33"/>
                    <w:rPr>
                      <w:color w:val="auto"/>
                    </w:rPr>
                  </w:pPr>
                </w:p>
              </w:tc>
              <w:tc>
                <w:tcPr>
                  <w:tcW w:w="2655" w:type="dxa"/>
                  <w:vMerge w:val="continue"/>
                  <w:tcBorders>
                    <w:tl2br w:val="nil"/>
                    <w:tr2bl w:val="nil"/>
                  </w:tcBorders>
                  <w:vAlign w:val="center"/>
                </w:tcPr>
                <w:p w14:paraId="6AC0F69D">
                  <w:pPr>
                    <w:pStyle w:val="33"/>
                    <w:rPr>
                      <w:color w:val="auto"/>
                    </w:rPr>
                  </w:pPr>
                </w:p>
              </w:tc>
              <w:tc>
                <w:tcPr>
                  <w:tcW w:w="1095" w:type="dxa"/>
                  <w:vMerge w:val="continue"/>
                  <w:tcBorders>
                    <w:tl2br w:val="nil"/>
                    <w:tr2bl w:val="nil"/>
                  </w:tcBorders>
                  <w:vAlign w:val="center"/>
                </w:tcPr>
                <w:p w14:paraId="07C1D535">
                  <w:pPr>
                    <w:pStyle w:val="33"/>
                    <w:rPr>
                      <w:color w:val="auto"/>
                    </w:rPr>
                  </w:pPr>
                </w:p>
              </w:tc>
              <w:tc>
                <w:tcPr>
                  <w:tcW w:w="1964" w:type="dxa"/>
                  <w:tcBorders>
                    <w:tl2br w:val="nil"/>
                    <w:tr2bl w:val="nil"/>
                  </w:tcBorders>
                  <w:vAlign w:val="center"/>
                </w:tcPr>
                <w:p w14:paraId="321D0282">
                  <w:pPr>
                    <w:pStyle w:val="33"/>
                    <w:rPr>
                      <w:color w:val="auto"/>
                    </w:rPr>
                  </w:pPr>
                  <w:r>
                    <w:rPr>
                      <w:rFonts w:hint="eastAsia"/>
                      <w:color w:val="auto"/>
                    </w:rPr>
                    <w:t>C36汽车制造业</w:t>
                  </w:r>
                </w:p>
              </w:tc>
            </w:tr>
            <w:tr w14:paraId="76FB40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continue"/>
                  <w:tcBorders>
                    <w:tl2br w:val="nil"/>
                    <w:tr2bl w:val="nil"/>
                  </w:tcBorders>
                  <w:vAlign w:val="center"/>
                </w:tcPr>
                <w:p w14:paraId="038A5267">
                  <w:pPr>
                    <w:pStyle w:val="33"/>
                    <w:rPr>
                      <w:color w:val="auto"/>
                    </w:rPr>
                  </w:pPr>
                </w:p>
              </w:tc>
              <w:tc>
                <w:tcPr>
                  <w:tcW w:w="2655" w:type="dxa"/>
                  <w:vMerge w:val="continue"/>
                  <w:tcBorders>
                    <w:tl2br w:val="nil"/>
                    <w:tr2bl w:val="nil"/>
                  </w:tcBorders>
                  <w:vAlign w:val="center"/>
                </w:tcPr>
                <w:p w14:paraId="6C87F788">
                  <w:pPr>
                    <w:pStyle w:val="33"/>
                    <w:rPr>
                      <w:color w:val="auto"/>
                    </w:rPr>
                  </w:pPr>
                </w:p>
              </w:tc>
              <w:tc>
                <w:tcPr>
                  <w:tcW w:w="1095" w:type="dxa"/>
                  <w:vMerge w:val="continue"/>
                  <w:tcBorders>
                    <w:tl2br w:val="nil"/>
                    <w:tr2bl w:val="nil"/>
                  </w:tcBorders>
                  <w:vAlign w:val="center"/>
                </w:tcPr>
                <w:p w14:paraId="37300C80">
                  <w:pPr>
                    <w:pStyle w:val="33"/>
                    <w:rPr>
                      <w:color w:val="auto"/>
                    </w:rPr>
                  </w:pPr>
                </w:p>
              </w:tc>
              <w:tc>
                <w:tcPr>
                  <w:tcW w:w="1964" w:type="dxa"/>
                  <w:tcBorders>
                    <w:tl2br w:val="nil"/>
                    <w:tr2bl w:val="nil"/>
                  </w:tcBorders>
                  <w:vAlign w:val="center"/>
                </w:tcPr>
                <w:p w14:paraId="495C5A26">
                  <w:pPr>
                    <w:pStyle w:val="33"/>
                    <w:rPr>
                      <w:color w:val="auto"/>
                    </w:rPr>
                  </w:pPr>
                  <w:r>
                    <w:rPr>
                      <w:rFonts w:hint="eastAsia"/>
                      <w:color w:val="auto"/>
                    </w:rPr>
                    <w:t>C37铁路、船舶、航空航天和机器运输设备制造</w:t>
                  </w:r>
                </w:p>
              </w:tc>
            </w:tr>
            <w:tr w14:paraId="7CD8B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continue"/>
                  <w:tcBorders>
                    <w:tl2br w:val="nil"/>
                    <w:tr2bl w:val="nil"/>
                  </w:tcBorders>
                  <w:vAlign w:val="center"/>
                </w:tcPr>
                <w:p w14:paraId="1FF44F0E">
                  <w:pPr>
                    <w:pStyle w:val="33"/>
                    <w:rPr>
                      <w:color w:val="auto"/>
                    </w:rPr>
                  </w:pPr>
                </w:p>
              </w:tc>
              <w:tc>
                <w:tcPr>
                  <w:tcW w:w="2655" w:type="dxa"/>
                  <w:vMerge w:val="continue"/>
                  <w:tcBorders>
                    <w:tl2br w:val="nil"/>
                    <w:tr2bl w:val="nil"/>
                  </w:tcBorders>
                  <w:vAlign w:val="center"/>
                </w:tcPr>
                <w:p w14:paraId="7A898DCB">
                  <w:pPr>
                    <w:pStyle w:val="33"/>
                    <w:rPr>
                      <w:color w:val="auto"/>
                    </w:rPr>
                  </w:pPr>
                </w:p>
              </w:tc>
              <w:tc>
                <w:tcPr>
                  <w:tcW w:w="1095" w:type="dxa"/>
                  <w:vMerge w:val="continue"/>
                  <w:tcBorders>
                    <w:tl2br w:val="nil"/>
                    <w:tr2bl w:val="nil"/>
                  </w:tcBorders>
                  <w:vAlign w:val="center"/>
                </w:tcPr>
                <w:p w14:paraId="0A11B06B">
                  <w:pPr>
                    <w:pStyle w:val="33"/>
                    <w:rPr>
                      <w:color w:val="auto"/>
                    </w:rPr>
                  </w:pPr>
                </w:p>
              </w:tc>
              <w:tc>
                <w:tcPr>
                  <w:tcW w:w="1964" w:type="dxa"/>
                  <w:tcBorders>
                    <w:tl2br w:val="nil"/>
                    <w:tr2bl w:val="nil"/>
                  </w:tcBorders>
                  <w:vAlign w:val="center"/>
                </w:tcPr>
                <w:p w14:paraId="63A99C29">
                  <w:pPr>
                    <w:pStyle w:val="33"/>
                    <w:rPr>
                      <w:color w:val="auto"/>
                    </w:rPr>
                  </w:pPr>
                  <w:r>
                    <w:rPr>
                      <w:rFonts w:hint="eastAsia"/>
                      <w:color w:val="auto"/>
                    </w:rPr>
                    <w:t>C38电气机械和器材制造业（除C384电池制造）</w:t>
                  </w:r>
                </w:p>
              </w:tc>
            </w:tr>
            <w:tr w14:paraId="63745B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40" w:type="dxa"/>
                  <w:vMerge w:val="continue"/>
                  <w:tcBorders>
                    <w:tl2br w:val="nil"/>
                    <w:tr2bl w:val="nil"/>
                  </w:tcBorders>
                  <w:vAlign w:val="center"/>
                </w:tcPr>
                <w:p w14:paraId="22483B5F">
                  <w:pPr>
                    <w:pStyle w:val="33"/>
                    <w:rPr>
                      <w:color w:val="auto"/>
                    </w:rPr>
                  </w:pPr>
                </w:p>
              </w:tc>
              <w:tc>
                <w:tcPr>
                  <w:tcW w:w="2655" w:type="dxa"/>
                  <w:vMerge w:val="continue"/>
                  <w:tcBorders>
                    <w:tl2br w:val="nil"/>
                    <w:tr2bl w:val="nil"/>
                  </w:tcBorders>
                  <w:vAlign w:val="center"/>
                </w:tcPr>
                <w:p w14:paraId="481A759E">
                  <w:pPr>
                    <w:pStyle w:val="33"/>
                    <w:rPr>
                      <w:color w:val="auto"/>
                    </w:rPr>
                  </w:pPr>
                </w:p>
              </w:tc>
              <w:tc>
                <w:tcPr>
                  <w:tcW w:w="1095" w:type="dxa"/>
                  <w:vMerge w:val="continue"/>
                  <w:tcBorders>
                    <w:tl2br w:val="nil"/>
                    <w:tr2bl w:val="nil"/>
                  </w:tcBorders>
                  <w:vAlign w:val="center"/>
                </w:tcPr>
                <w:p w14:paraId="3A1EFA87">
                  <w:pPr>
                    <w:pStyle w:val="33"/>
                    <w:rPr>
                      <w:color w:val="auto"/>
                    </w:rPr>
                  </w:pPr>
                </w:p>
              </w:tc>
              <w:tc>
                <w:tcPr>
                  <w:tcW w:w="1964" w:type="dxa"/>
                  <w:tcBorders>
                    <w:tl2br w:val="nil"/>
                    <w:tr2bl w:val="nil"/>
                  </w:tcBorders>
                  <w:vAlign w:val="center"/>
                </w:tcPr>
                <w:p w14:paraId="517DD57F">
                  <w:pPr>
                    <w:pStyle w:val="33"/>
                    <w:rPr>
                      <w:color w:val="auto"/>
                    </w:rPr>
                  </w:pPr>
                  <w:r>
                    <w:rPr>
                      <w:rFonts w:hint="eastAsia"/>
                      <w:color w:val="auto"/>
                    </w:rPr>
                    <w:t>C39计算机、通信和其他电子设备制造业</w:t>
                  </w:r>
                </w:p>
              </w:tc>
            </w:tr>
            <w:tr w14:paraId="70C488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vMerge w:val="continue"/>
                  <w:tcBorders>
                    <w:tl2br w:val="nil"/>
                    <w:tr2bl w:val="nil"/>
                  </w:tcBorders>
                  <w:vAlign w:val="center"/>
                </w:tcPr>
                <w:p w14:paraId="01F1B7B0">
                  <w:pPr>
                    <w:pStyle w:val="33"/>
                    <w:rPr>
                      <w:color w:val="auto"/>
                    </w:rPr>
                  </w:pPr>
                </w:p>
              </w:tc>
              <w:tc>
                <w:tcPr>
                  <w:tcW w:w="2655" w:type="dxa"/>
                  <w:vMerge w:val="continue"/>
                  <w:tcBorders>
                    <w:tl2br w:val="nil"/>
                    <w:tr2bl w:val="nil"/>
                  </w:tcBorders>
                  <w:vAlign w:val="center"/>
                </w:tcPr>
                <w:p w14:paraId="31209EF9">
                  <w:pPr>
                    <w:pStyle w:val="33"/>
                    <w:rPr>
                      <w:color w:val="auto"/>
                    </w:rPr>
                  </w:pPr>
                </w:p>
              </w:tc>
              <w:tc>
                <w:tcPr>
                  <w:tcW w:w="1095" w:type="dxa"/>
                  <w:vMerge w:val="continue"/>
                  <w:tcBorders>
                    <w:tl2br w:val="nil"/>
                    <w:tr2bl w:val="nil"/>
                  </w:tcBorders>
                  <w:vAlign w:val="center"/>
                </w:tcPr>
                <w:p w14:paraId="4B7F8D9A">
                  <w:pPr>
                    <w:pStyle w:val="33"/>
                    <w:rPr>
                      <w:color w:val="auto"/>
                    </w:rPr>
                  </w:pPr>
                </w:p>
              </w:tc>
              <w:tc>
                <w:tcPr>
                  <w:tcW w:w="1964" w:type="dxa"/>
                  <w:tcBorders>
                    <w:tl2br w:val="nil"/>
                    <w:tr2bl w:val="nil"/>
                  </w:tcBorders>
                  <w:vAlign w:val="center"/>
                </w:tcPr>
                <w:p w14:paraId="776820F0">
                  <w:pPr>
                    <w:pStyle w:val="33"/>
                    <w:rPr>
                      <w:color w:val="auto"/>
                    </w:rPr>
                  </w:pPr>
                  <w:r>
                    <w:rPr>
                      <w:rFonts w:hint="eastAsia"/>
                      <w:color w:val="auto"/>
                    </w:rPr>
                    <w:t>C40仪器仪表制造业</w:t>
                  </w:r>
                </w:p>
              </w:tc>
            </w:tr>
          </w:tbl>
          <w:p w14:paraId="3EC02238">
            <w:pPr>
              <w:pStyle w:val="35"/>
              <w:rPr>
                <w:rFonts w:hint="default"/>
                <w:color w:val="auto"/>
              </w:rPr>
            </w:pPr>
            <w:r>
              <w:rPr>
                <w:color w:val="auto"/>
              </w:rPr>
              <w:t>表1-4 项目与规划环评及其审查意见相符性分析</w:t>
            </w:r>
          </w:p>
          <w:tbl>
            <w:tblPr>
              <w:tblStyle w:val="17"/>
              <w:tblW w:w="675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0"/>
              <w:gridCol w:w="3330"/>
              <w:gridCol w:w="2160"/>
              <w:gridCol w:w="704"/>
            </w:tblGrid>
            <w:tr w14:paraId="635A5E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60" w:type="dxa"/>
                  <w:tcBorders>
                    <w:tl2br w:val="nil"/>
                    <w:tr2bl w:val="nil"/>
                  </w:tcBorders>
                  <w:vAlign w:val="center"/>
                </w:tcPr>
                <w:p w14:paraId="6BED95C8">
                  <w:pPr>
                    <w:pStyle w:val="33"/>
                    <w:rPr>
                      <w:color w:val="auto"/>
                    </w:rPr>
                  </w:pPr>
                  <w:r>
                    <w:rPr>
                      <w:rFonts w:hint="eastAsia"/>
                      <w:color w:val="auto"/>
                    </w:rPr>
                    <w:t>序号</w:t>
                  </w:r>
                </w:p>
              </w:tc>
              <w:tc>
                <w:tcPr>
                  <w:tcW w:w="3330" w:type="dxa"/>
                  <w:tcBorders>
                    <w:tl2br w:val="nil"/>
                    <w:tr2bl w:val="nil"/>
                  </w:tcBorders>
                  <w:vAlign w:val="center"/>
                </w:tcPr>
                <w:p w14:paraId="149818E3">
                  <w:pPr>
                    <w:pStyle w:val="33"/>
                    <w:rPr>
                      <w:color w:val="auto"/>
                    </w:rPr>
                  </w:pPr>
                  <w:r>
                    <w:rPr>
                      <w:rFonts w:hint="eastAsia"/>
                      <w:color w:val="auto"/>
                    </w:rPr>
                    <w:t>行业要求</w:t>
                  </w:r>
                </w:p>
              </w:tc>
              <w:tc>
                <w:tcPr>
                  <w:tcW w:w="2160" w:type="dxa"/>
                  <w:tcBorders>
                    <w:tl2br w:val="nil"/>
                    <w:tr2bl w:val="nil"/>
                  </w:tcBorders>
                  <w:vAlign w:val="center"/>
                </w:tcPr>
                <w:p w14:paraId="29FF806D">
                  <w:pPr>
                    <w:pStyle w:val="33"/>
                    <w:rPr>
                      <w:color w:val="auto"/>
                    </w:rPr>
                  </w:pPr>
                  <w:r>
                    <w:rPr>
                      <w:rFonts w:hint="eastAsia"/>
                      <w:color w:val="auto"/>
                    </w:rPr>
                    <w:t>项目情况</w:t>
                  </w:r>
                </w:p>
              </w:tc>
              <w:tc>
                <w:tcPr>
                  <w:tcW w:w="704" w:type="dxa"/>
                  <w:tcBorders>
                    <w:tl2br w:val="nil"/>
                    <w:tr2bl w:val="nil"/>
                  </w:tcBorders>
                  <w:vAlign w:val="center"/>
                </w:tcPr>
                <w:p w14:paraId="49EEA5C5">
                  <w:pPr>
                    <w:pStyle w:val="33"/>
                    <w:rPr>
                      <w:color w:val="auto"/>
                    </w:rPr>
                  </w:pPr>
                  <w:r>
                    <w:rPr>
                      <w:rFonts w:hint="eastAsia"/>
                      <w:color w:val="auto"/>
                    </w:rPr>
                    <w:t>符合性</w:t>
                  </w:r>
                </w:p>
              </w:tc>
            </w:tr>
            <w:tr w14:paraId="326E16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60" w:type="dxa"/>
                  <w:tcBorders>
                    <w:tl2br w:val="nil"/>
                    <w:tr2bl w:val="nil"/>
                  </w:tcBorders>
                  <w:vAlign w:val="center"/>
                </w:tcPr>
                <w:p w14:paraId="1CD69FEB">
                  <w:pPr>
                    <w:pStyle w:val="33"/>
                    <w:rPr>
                      <w:color w:val="auto"/>
                    </w:rPr>
                  </w:pPr>
                  <w:r>
                    <w:rPr>
                      <w:rFonts w:hint="eastAsia"/>
                      <w:color w:val="auto"/>
                    </w:rPr>
                    <w:t>1</w:t>
                  </w:r>
                </w:p>
              </w:tc>
              <w:tc>
                <w:tcPr>
                  <w:tcW w:w="3330" w:type="dxa"/>
                  <w:tcBorders>
                    <w:tl2br w:val="nil"/>
                    <w:tr2bl w:val="nil"/>
                  </w:tcBorders>
                  <w:vAlign w:val="center"/>
                </w:tcPr>
                <w:p w14:paraId="70C1BEA1">
                  <w:pPr>
                    <w:pStyle w:val="33"/>
                    <w:jc w:val="both"/>
                    <w:rPr>
                      <w:color w:val="auto"/>
                    </w:rPr>
                  </w:pPr>
                  <w:r>
                    <w:rPr>
                      <w:color w:val="auto"/>
                    </w:rPr>
                    <w:t>落实《报告书》提出的产业开发建设时序、环境准入要求以及调整产业布局等优化调整意见。严格按照产业环境准入清单</w:t>
                  </w:r>
                  <w:r>
                    <w:rPr>
                      <w:rFonts w:hint="eastAsia" w:ascii="宋体" w:hAnsi="宋体" w:cs="宋体"/>
                      <w:color w:val="auto"/>
                    </w:rPr>
                    <w:t>及“禁限控”</w:t>
                  </w:r>
                  <w:r>
                    <w:rPr>
                      <w:color w:val="auto"/>
                    </w:rPr>
                    <w:t>目录引入项目，提高产业规模化、集约化、专业化水平。具体建设项目布局必须符合大气环境防护距离的相关要求，建议靠近居住用地周围的工业用地布置污染类较轻企业，留足防护距离。本次规划位于白莲机场的净空保护范围内的建筑物高度应符合</w:t>
                  </w:r>
                  <w:r>
                    <w:rPr>
                      <w:rFonts w:hint="eastAsia" w:ascii="宋体" w:hAnsi="宋体" w:cs="宋体"/>
                      <w:color w:val="auto"/>
                    </w:rPr>
                    <w:t>“柳州白莲机场航行服务程序净空保护区域”管</w:t>
                  </w:r>
                  <w:r>
                    <w:rPr>
                      <w:color w:val="auto"/>
                    </w:rPr>
                    <w:t>控要求。</w:t>
                  </w:r>
                </w:p>
              </w:tc>
              <w:tc>
                <w:tcPr>
                  <w:tcW w:w="2160" w:type="dxa"/>
                  <w:tcBorders>
                    <w:tl2br w:val="nil"/>
                    <w:tr2bl w:val="nil"/>
                  </w:tcBorders>
                  <w:vAlign w:val="center"/>
                </w:tcPr>
                <w:p w14:paraId="53BB1289">
                  <w:pPr>
                    <w:pStyle w:val="33"/>
                    <w:jc w:val="both"/>
                    <w:rPr>
                      <w:color w:val="auto"/>
                    </w:rPr>
                  </w:pPr>
                  <w:r>
                    <w:rPr>
                      <w:rFonts w:hint="eastAsia"/>
                      <w:color w:val="auto"/>
                    </w:rPr>
                    <w:t>项目属于C1469 其他调味品、发酵制品制造，不属于禁止类目录中的项目；根据</w:t>
                  </w:r>
                  <w:r>
                    <w:rPr>
                      <w:rFonts w:hint="eastAsia"/>
                      <w:color w:val="auto"/>
                      <w:lang w:val="en-US" w:eastAsia="zh-CN"/>
                    </w:rPr>
                    <w:t>附图4</w:t>
                  </w:r>
                  <w:r>
                    <w:rPr>
                      <w:rFonts w:hint="eastAsia"/>
                      <w:color w:val="auto"/>
                    </w:rPr>
                    <w:t>《柳州白莲机场净空参考高度图》，项目所在地位于柳州白莲机场净空保护区第七区</w:t>
                  </w:r>
                  <w:r>
                    <w:rPr>
                      <w:rFonts w:hint="eastAsia"/>
                      <w:color w:val="auto"/>
                      <w:lang w:eastAsia="zh-CN"/>
                    </w:rPr>
                    <w:t>，该区域净空限制高度为</w:t>
                  </w:r>
                  <w:r>
                    <w:rPr>
                      <w:rFonts w:hint="eastAsia"/>
                      <w:color w:val="auto"/>
                      <w:lang w:val="en-US" w:eastAsia="zh-CN"/>
                    </w:rPr>
                    <w:t>142m，</w:t>
                  </w:r>
                  <w:r>
                    <w:rPr>
                      <w:rFonts w:hint="eastAsia"/>
                      <w:color w:val="auto"/>
                    </w:rPr>
                    <w:t>项目排气筒高度为18m，项目所在地海拔高度为</w:t>
                  </w:r>
                  <w:r>
                    <w:rPr>
                      <w:rFonts w:hint="eastAsia"/>
                      <w:color w:val="auto"/>
                      <w:lang w:eastAsia="zh-CN"/>
                    </w:rPr>
                    <w:t>111.6m</w:t>
                  </w:r>
                  <w:r>
                    <w:rPr>
                      <w:rFonts w:hint="eastAsia"/>
                      <w:color w:val="auto"/>
                    </w:rPr>
                    <w:t>，见附图10，即排气筒海拔高度为</w:t>
                  </w:r>
                  <w:r>
                    <w:rPr>
                      <w:rFonts w:hint="eastAsia"/>
                      <w:color w:val="auto"/>
                      <w:lang w:eastAsia="zh-CN"/>
                    </w:rPr>
                    <w:t>129.6m</w:t>
                  </w:r>
                  <w:r>
                    <w:rPr>
                      <w:rFonts w:hint="eastAsia"/>
                      <w:color w:val="auto"/>
                    </w:rPr>
                    <w:t>，小于142m，项目排气筒高度满足“柳州白莲机场航行服务程序净空保护区域”管控要求。</w:t>
                  </w:r>
                </w:p>
              </w:tc>
              <w:tc>
                <w:tcPr>
                  <w:tcW w:w="704" w:type="dxa"/>
                  <w:tcBorders>
                    <w:tl2br w:val="nil"/>
                    <w:tr2bl w:val="nil"/>
                  </w:tcBorders>
                  <w:vAlign w:val="center"/>
                </w:tcPr>
                <w:p w14:paraId="4AC2E8E9">
                  <w:pPr>
                    <w:pStyle w:val="33"/>
                    <w:rPr>
                      <w:color w:val="auto"/>
                    </w:rPr>
                  </w:pPr>
                  <w:r>
                    <w:rPr>
                      <w:rFonts w:hint="eastAsia"/>
                      <w:color w:val="auto"/>
                    </w:rPr>
                    <w:t>符合</w:t>
                  </w:r>
                </w:p>
              </w:tc>
            </w:tr>
            <w:tr w14:paraId="416BC4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60" w:type="dxa"/>
                  <w:tcBorders>
                    <w:tl2br w:val="nil"/>
                    <w:tr2bl w:val="nil"/>
                  </w:tcBorders>
                  <w:vAlign w:val="center"/>
                </w:tcPr>
                <w:p w14:paraId="444ED24B">
                  <w:pPr>
                    <w:pStyle w:val="33"/>
                    <w:rPr>
                      <w:color w:val="auto"/>
                    </w:rPr>
                  </w:pPr>
                  <w:r>
                    <w:rPr>
                      <w:rFonts w:hint="eastAsia"/>
                      <w:color w:val="auto"/>
                    </w:rPr>
                    <w:t>2</w:t>
                  </w:r>
                </w:p>
              </w:tc>
              <w:tc>
                <w:tcPr>
                  <w:tcW w:w="3330" w:type="dxa"/>
                  <w:tcBorders>
                    <w:tl2br w:val="nil"/>
                    <w:tr2bl w:val="nil"/>
                  </w:tcBorders>
                  <w:vAlign w:val="center"/>
                </w:tcPr>
                <w:p w14:paraId="1EE66E5A">
                  <w:pPr>
                    <w:pStyle w:val="33"/>
                    <w:jc w:val="both"/>
                    <w:rPr>
                      <w:color w:val="auto"/>
                    </w:rPr>
                  </w:pPr>
                  <w:r>
                    <w:rPr>
                      <w:color w:val="auto"/>
                    </w:rPr>
                    <w:t>以改善区域生态环境质量为目标，严格控制工业开发的总体规模与强度，不得占用禁止开发区域，优先避让生态环境敏感区域。做好与柳州</w:t>
                  </w:r>
                  <w:r>
                    <w:rPr>
                      <w:rFonts w:hint="eastAsia" w:ascii="宋体" w:hAnsi="宋体" w:cs="宋体"/>
                      <w:color w:val="auto"/>
                    </w:rPr>
                    <w:t>市“三线一单”的</w:t>
                  </w:r>
                  <w:r>
                    <w:rPr>
                      <w:color w:val="auto"/>
                    </w:rPr>
                    <w:t>对接，确保与都乐风景名胜区、饮用水源保护区、基本农田保护、公益林生态环境保护要求等协调。主动对接国土空间规划</w:t>
                  </w:r>
                  <w:r>
                    <w:rPr>
                      <w:rFonts w:hint="eastAsia" w:ascii="宋体" w:hAnsi="宋体" w:cs="宋体"/>
                      <w:color w:val="auto"/>
                    </w:rPr>
                    <w:t>及“三区三线”成</w:t>
                  </w:r>
                  <w:r>
                    <w:rPr>
                      <w:color w:val="auto"/>
                    </w:rPr>
                    <w:t>果，将生态保护红线作为保障和维护区域生态安全的底线，依法依规实施强制性保护。</w:t>
                  </w:r>
                </w:p>
              </w:tc>
              <w:tc>
                <w:tcPr>
                  <w:tcW w:w="2160" w:type="dxa"/>
                  <w:tcBorders>
                    <w:tl2br w:val="nil"/>
                    <w:tr2bl w:val="nil"/>
                  </w:tcBorders>
                  <w:vAlign w:val="center"/>
                </w:tcPr>
                <w:p w14:paraId="092423C7">
                  <w:pPr>
                    <w:pStyle w:val="33"/>
                    <w:jc w:val="both"/>
                    <w:rPr>
                      <w:color w:val="auto"/>
                    </w:rPr>
                  </w:pPr>
                  <w:r>
                    <w:rPr>
                      <w:rFonts w:hint="eastAsia"/>
                      <w:color w:val="auto"/>
                    </w:rPr>
                    <w:t>本项目位于柳州市柳江区新兴工业园利业路30号1-1，用地为工业用地，属于柳州市柳江区新兴工业园重点管控单元范围，环境管控单元编码为ZH45020620001，不属于优先保护单元的范围，不涉及生态保护红线。</w:t>
                  </w:r>
                </w:p>
              </w:tc>
              <w:tc>
                <w:tcPr>
                  <w:tcW w:w="704" w:type="dxa"/>
                  <w:tcBorders>
                    <w:tl2br w:val="nil"/>
                    <w:tr2bl w:val="nil"/>
                  </w:tcBorders>
                  <w:vAlign w:val="center"/>
                </w:tcPr>
                <w:p w14:paraId="4A7D3BCB">
                  <w:pPr>
                    <w:pStyle w:val="33"/>
                    <w:rPr>
                      <w:color w:val="auto"/>
                    </w:rPr>
                  </w:pPr>
                  <w:r>
                    <w:rPr>
                      <w:rFonts w:hint="eastAsia"/>
                      <w:color w:val="auto"/>
                    </w:rPr>
                    <w:t>符合</w:t>
                  </w:r>
                </w:p>
              </w:tc>
            </w:tr>
            <w:tr w14:paraId="01B945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60" w:type="dxa"/>
                  <w:tcBorders>
                    <w:tl2br w:val="nil"/>
                    <w:tr2bl w:val="nil"/>
                  </w:tcBorders>
                  <w:vAlign w:val="center"/>
                </w:tcPr>
                <w:p w14:paraId="5E6E53F8">
                  <w:pPr>
                    <w:pStyle w:val="33"/>
                    <w:rPr>
                      <w:color w:val="auto"/>
                    </w:rPr>
                  </w:pPr>
                  <w:r>
                    <w:rPr>
                      <w:rFonts w:hint="eastAsia"/>
                      <w:color w:val="auto"/>
                    </w:rPr>
                    <w:t>3</w:t>
                  </w:r>
                </w:p>
              </w:tc>
              <w:tc>
                <w:tcPr>
                  <w:tcW w:w="3330" w:type="dxa"/>
                  <w:tcBorders>
                    <w:tl2br w:val="nil"/>
                    <w:tr2bl w:val="nil"/>
                  </w:tcBorders>
                  <w:vAlign w:val="center"/>
                </w:tcPr>
                <w:p w14:paraId="499840D0">
                  <w:pPr>
                    <w:pStyle w:val="33"/>
                    <w:jc w:val="both"/>
                    <w:rPr>
                      <w:color w:val="auto"/>
                    </w:rPr>
                  </w:pPr>
                  <w:r>
                    <w:rPr>
                      <w:color w:val="auto"/>
                    </w:rPr>
                    <w:t>基于区域环境质量持续改善的目标，统筹考虑工业集中区优化发展及配套服务需求，提高规划产业规模化、集约化、专业化水平和生态环境保护的质量。严格按照国家和地方对水源保护的相关要求，提出保证水源水质及用水安全的管控要求。落实《报告书》提出的污水处理、排水方案等建议，考虑区域地表水体水环境容量状况，工业集中区内污水处理厂应按本次评价建议调整污水处理厂设计规模，满足园区废水处理需求。新兴污水处理厂和PCB污水处理厂修改为（柳州市新兴工业园（四方片区）新兴农场乡村振兴基础设施项目）的尾水量总负荷应控制在评价河段水环境容量范围内。</w:t>
                  </w:r>
                </w:p>
              </w:tc>
              <w:tc>
                <w:tcPr>
                  <w:tcW w:w="2160" w:type="dxa"/>
                  <w:tcBorders>
                    <w:tl2br w:val="nil"/>
                    <w:tr2bl w:val="nil"/>
                  </w:tcBorders>
                  <w:vAlign w:val="center"/>
                </w:tcPr>
                <w:p w14:paraId="70FB3EBB">
                  <w:pPr>
                    <w:pStyle w:val="33"/>
                    <w:jc w:val="both"/>
                    <w:rPr>
                      <w:color w:val="auto"/>
                    </w:rPr>
                  </w:pPr>
                  <w:r>
                    <w:rPr>
                      <w:rFonts w:hint="eastAsia"/>
                      <w:color w:val="auto"/>
                    </w:rPr>
                    <w:t>生活污水经化粪池预处理，生产过程中产生的设备清洗废水、车间清洗废水经</w:t>
                  </w:r>
                  <w:r>
                    <w:rPr>
                      <w:rFonts w:hint="eastAsia"/>
                      <w:color w:val="auto"/>
                      <w:lang w:eastAsia="zh-CN"/>
                    </w:rPr>
                    <w:t>厂区自建污水处理设施“隔油沉淀+一体化A/O工艺”处理</w:t>
                  </w:r>
                  <w:r>
                    <w:rPr>
                      <w:rFonts w:hint="eastAsia"/>
                      <w:color w:val="auto"/>
                    </w:rPr>
                    <w:t>处理后，达到《污水综合排放标准》（GB8978—1996）三级标准及新兴工业园污水处理厂设计进水水质要求，经园区污水管网排入新兴工业园污水处理厂处理。</w:t>
                  </w:r>
                </w:p>
              </w:tc>
              <w:tc>
                <w:tcPr>
                  <w:tcW w:w="704" w:type="dxa"/>
                  <w:tcBorders>
                    <w:tl2br w:val="nil"/>
                    <w:tr2bl w:val="nil"/>
                  </w:tcBorders>
                  <w:vAlign w:val="center"/>
                </w:tcPr>
                <w:p w14:paraId="71A27D99">
                  <w:pPr>
                    <w:pStyle w:val="33"/>
                    <w:rPr>
                      <w:color w:val="auto"/>
                    </w:rPr>
                  </w:pPr>
                  <w:r>
                    <w:rPr>
                      <w:rFonts w:hint="eastAsia"/>
                      <w:color w:val="auto"/>
                    </w:rPr>
                    <w:t>符合</w:t>
                  </w:r>
                </w:p>
              </w:tc>
            </w:tr>
            <w:tr w14:paraId="507CA0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60" w:type="dxa"/>
                  <w:tcBorders>
                    <w:tl2br w:val="nil"/>
                    <w:tr2bl w:val="nil"/>
                  </w:tcBorders>
                  <w:vAlign w:val="center"/>
                </w:tcPr>
                <w:p w14:paraId="3BAE0C83">
                  <w:pPr>
                    <w:pStyle w:val="33"/>
                    <w:rPr>
                      <w:color w:val="auto"/>
                    </w:rPr>
                  </w:pPr>
                  <w:r>
                    <w:rPr>
                      <w:rFonts w:hint="eastAsia"/>
                      <w:color w:val="auto"/>
                    </w:rPr>
                    <w:t>4</w:t>
                  </w:r>
                </w:p>
              </w:tc>
              <w:tc>
                <w:tcPr>
                  <w:tcW w:w="3330" w:type="dxa"/>
                  <w:tcBorders>
                    <w:tl2br w:val="nil"/>
                    <w:tr2bl w:val="nil"/>
                  </w:tcBorders>
                  <w:vAlign w:val="center"/>
                </w:tcPr>
                <w:p w14:paraId="1F22D2B7">
                  <w:pPr>
                    <w:pStyle w:val="33"/>
                    <w:jc w:val="both"/>
                    <w:rPr>
                      <w:color w:val="auto"/>
                    </w:rPr>
                  </w:pPr>
                  <w:r>
                    <w:rPr>
                      <w:color w:val="auto"/>
                    </w:rPr>
                    <w:t>依法依规妥善处置固体废物，规划产业应配套固废处置工程，确保规划产业的工业固体废弃物处置率可达到100%；根据发展需要适时考虑清洁能源供应设施建设；相关污染防治设施应纳入片区规划项目同步建设、投运；应借鉴国内外产业发展模式，实现企业清洁化生产和循环产业链。</w:t>
                  </w:r>
                </w:p>
              </w:tc>
              <w:tc>
                <w:tcPr>
                  <w:tcW w:w="2160" w:type="dxa"/>
                  <w:tcBorders>
                    <w:tl2br w:val="nil"/>
                    <w:tr2bl w:val="nil"/>
                  </w:tcBorders>
                  <w:vAlign w:val="center"/>
                </w:tcPr>
                <w:p w14:paraId="15FA67C9">
                  <w:pPr>
                    <w:pStyle w:val="33"/>
                    <w:jc w:val="both"/>
                    <w:rPr>
                      <w:color w:val="auto"/>
                    </w:rPr>
                  </w:pPr>
                  <w:r>
                    <w:rPr>
                      <w:rFonts w:hint="eastAsia"/>
                      <w:color w:val="auto"/>
                    </w:rPr>
                    <w:t>项目产生的固体废物均得到妥善处置。相关污染防治设施与项目同步建设、投运。</w:t>
                  </w:r>
                </w:p>
              </w:tc>
              <w:tc>
                <w:tcPr>
                  <w:tcW w:w="704" w:type="dxa"/>
                  <w:tcBorders>
                    <w:tl2br w:val="nil"/>
                    <w:tr2bl w:val="nil"/>
                  </w:tcBorders>
                  <w:vAlign w:val="center"/>
                </w:tcPr>
                <w:p w14:paraId="426C516D">
                  <w:pPr>
                    <w:pStyle w:val="33"/>
                    <w:rPr>
                      <w:color w:val="auto"/>
                    </w:rPr>
                  </w:pPr>
                  <w:r>
                    <w:rPr>
                      <w:rFonts w:hint="eastAsia"/>
                      <w:color w:val="auto"/>
                    </w:rPr>
                    <w:t>符合</w:t>
                  </w:r>
                </w:p>
              </w:tc>
            </w:tr>
            <w:tr w14:paraId="24E6E2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60" w:type="dxa"/>
                  <w:tcBorders>
                    <w:tl2br w:val="nil"/>
                    <w:tr2bl w:val="nil"/>
                  </w:tcBorders>
                  <w:vAlign w:val="center"/>
                </w:tcPr>
                <w:p w14:paraId="58229F81">
                  <w:pPr>
                    <w:pStyle w:val="33"/>
                    <w:rPr>
                      <w:color w:val="auto"/>
                    </w:rPr>
                  </w:pPr>
                  <w:r>
                    <w:rPr>
                      <w:rFonts w:hint="eastAsia"/>
                      <w:color w:val="auto"/>
                    </w:rPr>
                    <w:t>5</w:t>
                  </w:r>
                </w:p>
              </w:tc>
              <w:tc>
                <w:tcPr>
                  <w:tcW w:w="3330" w:type="dxa"/>
                  <w:tcBorders>
                    <w:tl2br w:val="nil"/>
                    <w:tr2bl w:val="nil"/>
                  </w:tcBorders>
                  <w:vAlign w:val="center"/>
                </w:tcPr>
                <w:p w14:paraId="434DFD04">
                  <w:pPr>
                    <w:pStyle w:val="33"/>
                    <w:jc w:val="both"/>
                    <w:rPr>
                      <w:color w:val="auto"/>
                    </w:rPr>
                  </w:pPr>
                  <w:r>
                    <w:rPr>
                      <w:color w:val="auto"/>
                    </w:rPr>
                    <w:t>落实环境风险防范的主体责任，强化环境风险防范体系建设，形成与片区环境风险相匹配的应急能力，制定环境污染事故应急预案，健全环境风险防范区域联动机制。优化片区布局与周边居住区敏感目标保持合理距离，预防和减缓不利环境影响和风险。</w:t>
                  </w:r>
                </w:p>
              </w:tc>
              <w:tc>
                <w:tcPr>
                  <w:tcW w:w="2160" w:type="dxa"/>
                  <w:tcBorders>
                    <w:tl2br w:val="nil"/>
                    <w:tr2bl w:val="nil"/>
                  </w:tcBorders>
                  <w:vAlign w:val="center"/>
                </w:tcPr>
                <w:p w14:paraId="21F06489">
                  <w:pPr>
                    <w:pStyle w:val="33"/>
                    <w:jc w:val="both"/>
                    <w:rPr>
                      <w:color w:val="auto"/>
                    </w:rPr>
                  </w:pPr>
                  <w:r>
                    <w:rPr>
                      <w:rFonts w:hint="eastAsia"/>
                      <w:color w:val="auto"/>
                    </w:rPr>
                    <w:t>项目建成后，企业将根据相关规范制定环境污染事故应急预案。</w:t>
                  </w:r>
                </w:p>
              </w:tc>
              <w:tc>
                <w:tcPr>
                  <w:tcW w:w="704" w:type="dxa"/>
                  <w:tcBorders>
                    <w:tl2br w:val="nil"/>
                    <w:tr2bl w:val="nil"/>
                  </w:tcBorders>
                  <w:vAlign w:val="center"/>
                </w:tcPr>
                <w:p w14:paraId="1E4DACB2">
                  <w:pPr>
                    <w:pStyle w:val="33"/>
                    <w:rPr>
                      <w:color w:val="auto"/>
                    </w:rPr>
                  </w:pPr>
                  <w:r>
                    <w:rPr>
                      <w:rFonts w:hint="eastAsia"/>
                      <w:color w:val="auto"/>
                    </w:rPr>
                    <w:t>符合</w:t>
                  </w:r>
                </w:p>
              </w:tc>
            </w:tr>
          </w:tbl>
          <w:p w14:paraId="4895175E">
            <w:pPr>
              <w:ind w:firstLine="480"/>
              <w:rPr>
                <w:color w:val="auto"/>
              </w:rPr>
            </w:pPr>
            <w:r>
              <w:rPr>
                <w:rFonts w:hint="eastAsia"/>
                <w:color w:val="auto"/>
                <w:lang w:val="en-US" w:eastAsia="zh-CN"/>
              </w:rPr>
              <w:t>本</w:t>
            </w:r>
            <w:r>
              <w:rPr>
                <w:rFonts w:hint="eastAsia"/>
                <w:color w:val="auto"/>
              </w:rPr>
              <w:t>项目为食品制造业中的C1469其他调味品、发酵制品制造，由表1-1至表1-</w:t>
            </w:r>
            <w:r>
              <w:rPr>
                <w:rFonts w:hint="eastAsia"/>
                <w:color w:val="auto"/>
                <w:lang w:val="en-US" w:eastAsia="zh-CN"/>
              </w:rPr>
              <w:t>4</w:t>
            </w:r>
            <w:r>
              <w:rPr>
                <w:rFonts w:hint="eastAsia"/>
                <w:color w:val="auto"/>
              </w:rPr>
              <w:t>可知，项目不属于新兴工业集中区禁止引入产业清单内行业，符合《柳州市柳江区新兴工业园产业发展规划（2020-2025）—新兴工业集中区环境影响报告书》及其审查意见（柳环函</w:t>
            </w:r>
            <w:r>
              <w:rPr>
                <w:color w:val="auto"/>
              </w:rPr>
              <w:t>〔2023〕241</w:t>
            </w:r>
            <w:r>
              <w:rPr>
                <w:rFonts w:hint="eastAsia" w:ascii="宋体" w:hAnsi="宋体" w:cs="宋体"/>
                <w:color w:val="auto"/>
              </w:rPr>
              <w:t>号</w:t>
            </w:r>
            <w:r>
              <w:rPr>
                <w:rFonts w:hint="eastAsia"/>
                <w:color w:val="auto"/>
              </w:rPr>
              <w:t>）的要求。</w:t>
            </w:r>
          </w:p>
        </w:tc>
      </w:tr>
      <w:tr w14:paraId="7ABB04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00" w:type="dxa"/>
            <w:vAlign w:val="center"/>
          </w:tcPr>
          <w:p w14:paraId="2E933A26">
            <w:pPr>
              <w:autoSpaceDE w:val="0"/>
              <w:autoSpaceDN w:val="0"/>
              <w:adjustRightInd w:val="0"/>
              <w:snapToGrid w:val="0"/>
              <w:spacing w:line="240" w:lineRule="auto"/>
              <w:ind w:firstLine="0" w:firstLineChars="0"/>
              <w:jc w:val="center"/>
              <w:rPr>
                <w:color w:val="auto"/>
                <w:kern w:val="0"/>
                <w:szCs w:val="21"/>
              </w:rPr>
            </w:pPr>
            <w:r>
              <w:rPr>
                <w:color w:val="auto"/>
                <w:kern w:val="0"/>
                <w:szCs w:val="21"/>
              </w:rPr>
              <w:t>其他符合性分析</w:t>
            </w:r>
          </w:p>
        </w:tc>
        <w:tc>
          <w:tcPr>
            <w:tcW w:w="6970" w:type="dxa"/>
            <w:gridSpan w:val="3"/>
            <w:vAlign w:val="center"/>
          </w:tcPr>
          <w:p w14:paraId="612A8C8F">
            <w:pPr>
              <w:ind w:firstLine="480"/>
              <w:rPr>
                <w:color w:val="auto"/>
              </w:rPr>
            </w:pPr>
            <w:r>
              <w:rPr>
                <w:rFonts w:hint="eastAsia"/>
                <w:color w:val="auto"/>
              </w:rPr>
              <w:t>1、与产业政策相符性分析</w:t>
            </w:r>
          </w:p>
          <w:p w14:paraId="385F321A">
            <w:pPr>
              <w:ind w:firstLine="480"/>
              <w:rPr>
                <w:color w:val="auto"/>
              </w:rPr>
            </w:pPr>
            <w:r>
              <w:rPr>
                <w:rFonts w:hint="eastAsia"/>
                <w:color w:val="auto"/>
              </w:rPr>
              <w:t>对照《产业结构调整指导目录（2024年本）》（中华人民共和国国家发展和改革委员会令第7号），本项目不属于其中的“鼓励类”、“限制类”、“淘汰类”项目，属于允许建设项目。</w:t>
            </w:r>
          </w:p>
          <w:p w14:paraId="3711D55B">
            <w:pPr>
              <w:ind w:firstLine="480"/>
              <w:rPr>
                <w:color w:val="auto"/>
              </w:rPr>
            </w:pPr>
            <w:r>
              <w:rPr>
                <w:rFonts w:hint="eastAsia"/>
                <w:color w:val="auto"/>
              </w:rPr>
              <w:t>2、与《食品生产通用卫生规范》（GB14881-2013）符合性分析</w:t>
            </w:r>
          </w:p>
          <w:p w14:paraId="4232C998">
            <w:pPr>
              <w:ind w:firstLine="480"/>
              <w:rPr>
                <w:color w:val="auto"/>
              </w:rPr>
            </w:pPr>
            <w:r>
              <w:rPr>
                <w:rFonts w:hint="eastAsia"/>
                <w:color w:val="auto"/>
              </w:rPr>
              <w:t>根据《食品生产通用卫生规范》（GB14881-2013）中对食品生产企业选址的相关规定，本项目符合性如下表所示：</w:t>
            </w:r>
          </w:p>
          <w:p w14:paraId="316C9546">
            <w:pPr>
              <w:pStyle w:val="35"/>
              <w:rPr>
                <w:rFonts w:hint="default"/>
                <w:color w:val="auto"/>
              </w:rPr>
            </w:pPr>
            <w:r>
              <w:rPr>
                <w:color w:val="auto"/>
              </w:rPr>
              <w:t>表1-5 项目与《食品生产通用卫生规范》符合性分析</w:t>
            </w:r>
          </w:p>
          <w:tbl>
            <w:tblPr>
              <w:tblStyle w:val="17"/>
              <w:tblW w:w="675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096"/>
              <w:gridCol w:w="2936"/>
              <w:gridCol w:w="722"/>
            </w:tblGrid>
            <w:tr w14:paraId="157B77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tcBorders>
                    <w:tl2br w:val="nil"/>
                    <w:tr2bl w:val="nil"/>
                  </w:tcBorders>
                  <w:vAlign w:val="center"/>
                </w:tcPr>
                <w:p w14:paraId="2DA77C17">
                  <w:pPr>
                    <w:pStyle w:val="33"/>
                    <w:rPr>
                      <w:color w:val="auto"/>
                    </w:rPr>
                  </w:pPr>
                  <w:r>
                    <w:rPr>
                      <w:rFonts w:hint="eastAsia"/>
                      <w:color w:val="auto"/>
                    </w:rPr>
                    <w:t>《食品生产通用卫生规范》</w:t>
                  </w:r>
                </w:p>
              </w:tc>
              <w:tc>
                <w:tcPr>
                  <w:tcW w:w="2936" w:type="dxa"/>
                  <w:tcBorders>
                    <w:tl2br w:val="nil"/>
                    <w:tr2bl w:val="nil"/>
                  </w:tcBorders>
                  <w:vAlign w:val="center"/>
                </w:tcPr>
                <w:p w14:paraId="0D505A25">
                  <w:pPr>
                    <w:pStyle w:val="33"/>
                    <w:rPr>
                      <w:color w:val="auto"/>
                    </w:rPr>
                  </w:pPr>
                  <w:r>
                    <w:rPr>
                      <w:rFonts w:hint="eastAsia"/>
                      <w:color w:val="auto"/>
                    </w:rPr>
                    <w:t>本项目建设情况</w:t>
                  </w:r>
                </w:p>
              </w:tc>
              <w:tc>
                <w:tcPr>
                  <w:tcW w:w="722" w:type="dxa"/>
                  <w:tcBorders>
                    <w:tl2br w:val="nil"/>
                    <w:tr2bl w:val="nil"/>
                  </w:tcBorders>
                  <w:vAlign w:val="center"/>
                </w:tcPr>
                <w:p w14:paraId="5E9F0479">
                  <w:pPr>
                    <w:pStyle w:val="33"/>
                    <w:rPr>
                      <w:color w:val="auto"/>
                    </w:rPr>
                  </w:pPr>
                  <w:r>
                    <w:rPr>
                      <w:rFonts w:hint="eastAsia"/>
                      <w:color w:val="auto"/>
                    </w:rPr>
                    <w:t>符合性</w:t>
                  </w:r>
                </w:p>
              </w:tc>
            </w:tr>
            <w:tr w14:paraId="4DFE4D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754" w:type="dxa"/>
                  <w:gridSpan w:val="3"/>
                  <w:tcBorders>
                    <w:tl2br w:val="nil"/>
                    <w:tr2bl w:val="nil"/>
                  </w:tcBorders>
                  <w:vAlign w:val="center"/>
                </w:tcPr>
                <w:p w14:paraId="3C9C29D9">
                  <w:pPr>
                    <w:pStyle w:val="33"/>
                    <w:rPr>
                      <w:color w:val="auto"/>
                    </w:rPr>
                  </w:pPr>
                  <w:r>
                    <w:rPr>
                      <w:rFonts w:hint="eastAsia"/>
                      <w:color w:val="auto"/>
                    </w:rPr>
                    <w:t>一、对选址的要求</w:t>
                  </w:r>
                </w:p>
              </w:tc>
            </w:tr>
            <w:tr w14:paraId="48CDC2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tcBorders>
                    <w:tl2br w:val="nil"/>
                    <w:tr2bl w:val="nil"/>
                  </w:tcBorders>
                  <w:vAlign w:val="center"/>
                </w:tcPr>
                <w:p w14:paraId="2FE11EDD">
                  <w:pPr>
                    <w:pStyle w:val="33"/>
                    <w:jc w:val="both"/>
                    <w:rPr>
                      <w:color w:val="auto"/>
                    </w:rPr>
                  </w:pPr>
                  <w:r>
                    <w:rPr>
                      <w:rFonts w:hint="eastAsia"/>
                      <w:color w:val="auto"/>
                    </w:rPr>
                    <w:t>1、厂区不应选择对食品有显著污染的区域。如某地对食品安全和食品宜食用性存在明显的不利影响，且无法通过采取措施加以改善，应避免在该地址建厂。</w:t>
                  </w:r>
                </w:p>
              </w:tc>
              <w:tc>
                <w:tcPr>
                  <w:tcW w:w="2936" w:type="dxa"/>
                  <w:tcBorders>
                    <w:tl2br w:val="nil"/>
                    <w:tr2bl w:val="nil"/>
                  </w:tcBorders>
                  <w:vAlign w:val="center"/>
                </w:tcPr>
                <w:p w14:paraId="6A69C924">
                  <w:pPr>
                    <w:pStyle w:val="33"/>
                    <w:jc w:val="both"/>
                    <w:rPr>
                      <w:color w:val="auto"/>
                    </w:rPr>
                  </w:pPr>
                  <w:r>
                    <w:rPr>
                      <w:rFonts w:hint="eastAsia"/>
                      <w:color w:val="auto"/>
                    </w:rPr>
                    <w:t>项目区周边主要为食品加工企业。项目周边无较大的工业污染源，对本项目的生产运营影响不大。</w:t>
                  </w:r>
                </w:p>
              </w:tc>
              <w:tc>
                <w:tcPr>
                  <w:tcW w:w="722" w:type="dxa"/>
                  <w:tcBorders>
                    <w:tl2br w:val="nil"/>
                    <w:tr2bl w:val="nil"/>
                  </w:tcBorders>
                  <w:vAlign w:val="center"/>
                </w:tcPr>
                <w:p w14:paraId="77566781">
                  <w:pPr>
                    <w:pStyle w:val="33"/>
                    <w:rPr>
                      <w:color w:val="auto"/>
                    </w:rPr>
                  </w:pPr>
                  <w:r>
                    <w:rPr>
                      <w:rFonts w:hint="eastAsia"/>
                      <w:color w:val="auto"/>
                    </w:rPr>
                    <w:t>符合</w:t>
                  </w:r>
                </w:p>
              </w:tc>
            </w:tr>
            <w:tr w14:paraId="5FDDDE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tcBorders>
                    <w:tl2br w:val="nil"/>
                    <w:tr2bl w:val="nil"/>
                  </w:tcBorders>
                  <w:vAlign w:val="center"/>
                </w:tcPr>
                <w:p w14:paraId="18AFD987">
                  <w:pPr>
                    <w:pStyle w:val="33"/>
                    <w:jc w:val="both"/>
                    <w:rPr>
                      <w:color w:val="auto"/>
                    </w:rPr>
                  </w:pPr>
                  <w:r>
                    <w:rPr>
                      <w:rFonts w:hint="eastAsia"/>
                      <w:color w:val="auto"/>
                    </w:rPr>
                    <w:t>2、厂区不应选择有害废弃物以及粉尘、有害气体、放射性物质和其他扩散性污染源不能有效清除的地址。</w:t>
                  </w:r>
                </w:p>
              </w:tc>
              <w:tc>
                <w:tcPr>
                  <w:tcW w:w="2936" w:type="dxa"/>
                  <w:tcBorders>
                    <w:tl2br w:val="nil"/>
                    <w:tr2bl w:val="nil"/>
                  </w:tcBorders>
                  <w:vAlign w:val="center"/>
                </w:tcPr>
                <w:p w14:paraId="2D38D760">
                  <w:pPr>
                    <w:pStyle w:val="33"/>
                    <w:jc w:val="both"/>
                    <w:rPr>
                      <w:color w:val="auto"/>
                    </w:rPr>
                  </w:pPr>
                  <w:r>
                    <w:rPr>
                      <w:rFonts w:hint="eastAsia"/>
                      <w:color w:val="auto"/>
                    </w:rPr>
                    <w:t>经现场调查，本项目选址不存在有害废弃物以及粉尘、有害气体、放射性物质和其他扩散性污染源遗留问题。</w:t>
                  </w:r>
                </w:p>
              </w:tc>
              <w:tc>
                <w:tcPr>
                  <w:tcW w:w="722" w:type="dxa"/>
                  <w:tcBorders>
                    <w:tl2br w:val="nil"/>
                    <w:tr2bl w:val="nil"/>
                  </w:tcBorders>
                  <w:vAlign w:val="center"/>
                </w:tcPr>
                <w:p w14:paraId="78AB54B7">
                  <w:pPr>
                    <w:pStyle w:val="33"/>
                    <w:rPr>
                      <w:color w:val="auto"/>
                    </w:rPr>
                  </w:pPr>
                  <w:r>
                    <w:rPr>
                      <w:rFonts w:hint="eastAsia"/>
                      <w:color w:val="auto"/>
                    </w:rPr>
                    <w:t>符合</w:t>
                  </w:r>
                </w:p>
              </w:tc>
            </w:tr>
            <w:tr w14:paraId="3466B9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tcBorders>
                    <w:tl2br w:val="nil"/>
                    <w:tr2bl w:val="nil"/>
                  </w:tcBorders>
                  <w:vAlign w:val="center"/>
                </w:tcPr>
                <w:p w14:paraId="5DA6FB14">
                  <w:pPr>
                    <w:pStyle w:val="33"/>
                    <w:jc w:val="both"/>
                    <w:rPr>
                      <w:color w:val="auto"/>
                    </w:rPr>
                  </w:pPr>
                  <w:r>
                    <w:rPr>
                      <w:rFonts w:hint="eastAsia"/>
                      <w:color w:val="auto"/>
                    </w:rPr>
                    <w:t>3、厂区不宜选择易发生洪涝灾害的地区，难以避开时应设计必要的防范措施。</w:t>
                  </w:r>
                </w:p>
              </w:tc>
              <w:tc>
                <w:tcPr>
                  <w:tcW w:w="2936" w:type="dxa"/>
                  <w:tcBorders>
                    <w:tl2br w:val="nil"/>
                    <w:tr2bl w:val="nil"/>
                  </w:tcBorders>
                  <w:vAlign w:val="center"/>
                </w:tcPr>
                <w:p w14:paraId="69FB21CE">
                  <w:pPr>
                    <w:pStyle w:val="33"/>
                    <w:jc w:val="both"/>
                    <w:rPr>
                      <w:color w:val="auto"/>
                    </w:rPr>
                  </w:pPr>
                  <w:r>
                    <w:rPr>
                      <w:rFonts w:hint="eastAsia"/>
                      <w:color w:val="auto"/>
                    </w:rPr>
                    <w:t>项目所在地地势较高，不易发生洪涝灾害。</w:t>
                  </w:r>
                </w:p>
              </w:tc>
              <w:tc>
                <w:tcPr>
                  <w:tcW w:w="722" w:type="dxa"/>
                  <w:tcBorders>
                    <w:tl2br w:val="nil"/>
                    <w:tr2bl w:val="nil"/>
                  </w:tcBorders>
                  <w:vAlign w:val="center"/>
                </w:tcPr>
                <w:p w14:paraId="624CB91F">
                  <w:pPr>
                    <w:pStyle w:val="33"/>
                    <w:rPr>
                      <w:color w:val="auto"/>
                    </w:rPr>
                  </w:pPr>
                  <w:r>
                    <w:rPr>
                      <w:rFonts w:hint="eastAsia"/>
                      <w:color w:val="auto"/>
                    </w:rPr>
                    <w:t>符合</w:t>
                  </w:r>
                </w:p>
              </w:tc>
            </w:tr>
            <w:tr w14:paraId="1EC137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tcBorders>
                    <w:tl2br w:val="nil"/>
                    <w:tr2bl w:val="nil"/>
                  </w:tcBorders>
                  <w:vAlign w:val="center"/>
                </w:tcPr>
                <w:p w14:paraId="63E9F1AD">
                  <w:pPr>
                    <w:pStyle w:val="33"/>
                    <w:jc w:val="both"/>
                    <w:rPr>
                      <w:color w:val="auto"/>
                    </w:rPr>
                  </w:pPr>
                  <w:r>
                    <w:rPr>
                      <w:rFonts w:hint="eastAsia"/>
                      <w:color w:val="auto"/>
                    </w:rPr>
                    <w:t>4、厂区周围不宜有虫害大量孽生的潜在场所，难以避开时应设计必要的防范措施。</w:t>
                  </w:r>
                </w:p>
              </w:tc>
              <w:tc>
                <w:tcPr>
                  <w:tcW w:w="2936" w:type="dxa"/>
                  <w:tcBorders>
                    <w:tl2br w:val="nil"/>
                    <w:tr2bl w:val="nil"/>
                  </w:tcBorders>
                  <w:vAlign w:val="center"/>
                </w:tcPr>
                <w:p w14:paraId="20E9594F">
                  <w:pPr>
                    <w:pStyle w:val="33"/>
                    <w:jc w:val="both"/>
                    <w:rPr>
                      <w:color w:val="auto"/>
                    </w:rPr>
                  </w:pPr>
                  <w:r>
                    <w:rPr>
                      <w:rFonts w:hint="eastAsia"/>
                      <w:color w:val="auto"/>
                    </w:rPr>
                    <w:t>厂区周围没有虫害大量滋生的潜在场所</w:t>
                  </w:r>
                </w:p>
              </w:tc>
              <w:tc>
                <w:tcPr>
                  <w:tcW w:w="722" w:type="dxa"/>
                  <w:tcBorders>
                    <w:tl2br w:val="nil"/>
                    <w:tr2bl w:val="nil"/>
                  </w:tcBorders>
                  <w:vAlign w:val="center"/>
                </w:tcPr>
                <w:p w14:paraId="3313EEE9">
                  <w:pPr>
                    <w:pStyle w:val="33"/>
                    <w:rPr>
                      <w:color w:val="auto"/>
                    </w:rPr>
                  </w:pPr>
                  <w:r>
                    <w:rPr>
                      <w:rFonts w:hint="eastAsia"/>
                      <w:color w:val="auto"/>
                    </w:rPr>
                    <w:t>符合</w:t>
                  </w:r>
                </w:p>
              </w:tc>
            </w:tr>
            <w:tr w14:paraId="1E9C8A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754" w:type="dxa"/>
                  <w:gridSpan w:val="3"/>
                  <w:tcBorders>
                    <w:tl2br w:val="nil"/>
                    <w:tr2bl w:val="nil"/>
                  </w:tcBorders>
                  <w:vAlign w:val="center"/>
                </w:tcPr>
                <w:p w14:paraId="7588DD3E">
                  <w:pPr>
                    <w:pStyle w:val="33"/>
                    <w:rPr>
                      <w:color w:val="auto"/>
                    </w:rPr>
                  </w:pPr>
                  <w:r>
                    <w:rPr>
                      <w:rFonts w:hint="eastAsia"/>
                      <w:color w:val="auto"/>
                    </w:rPr>
                    <w:t>二、对厂区环境的要求</w:t>
                  </w:r>
                </w:p>
              </w:tc>
            </w:tr>
            <w:tr w14:paraId="116A99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tcBorders>
                    <w:tl2br w:val="nil"/>
                    <w:tr2bl w:val="nil"/>
                  </w:tcBorders>
                  <w:vAlign w:val="center"/>
                </w:tcPr>
                <w:p w14:paraId="76694912">
                  <w:pPr>
                    <w:pStyle w:val="33"/>
                    <w:jc w:val="both"/>
                    <w:rPr>
                      <w:color w:val="auto"/>
                    </w:rPr>
                  </w:pPr>
                  <w:r>
                    <w:rPr>
                      <w:rFonts w:hint="eastAsia"/>
                      <w:color w:val="auto"/>
                    </w:rPr>
                    <w:t>1、应考虑环境给食品生产带来的潜在污染风险，并采取适当的措施将其降至最低水平。</w:t>
                  </w:r>
                </w:p>
              </w:tc>
              <w:tc>
                <w:tcPr>
                  <w:tcW w:w="2936" w:type="dxa"/>
                  <w:tcBorders>
                    <w:tl2br w:val="nil"/>
                    <w:tr2bl w:val="nil"/>
                  </w:tcBorders>
                  <w:vAlign w:val="center"/>
                </w:tcPr>
                <w:p w14:paraId="40253FC2">
                  <w:pPr>
                    <w:pStyle w:val="33"/>
                    <w:jc w:val="both"/>
                    <w:rPr>
                      <w:color w:val="auto"/>
                    </w:rPr>
                  </w:pPr>
                  <w:r>
                    <w:rPr>
                      <w:color w:val="auto"/>
                    </w:rPr>
                    <w:t>厂区环境卫生较好，按照食品卫生相关要求进行设计和生产，运营期产生的污染均采取有效的防治措施。</w:t>
                  </w:r>
                </w:p>
              </w:tc>
              <w:tc>
                <w:tcPr>
                  <w:tcW w:w="722" w:type="dxa"/>
                  <w:tcBorders>
                    <w:tl2br w:val="nil"/>
                    <w:tr2bl w:val="nil"/>
                  </w:tcBorders>
                  <w:vAlign w:val="center"/>
                </w:tcPr>
                <w:p w14:paraId="700BD801">
                  <w:pPr>
                    <w:pStyle w:val="33"/>
                    <w:rPr>
                      <w:color w:val="auto"/>
                    </w:rPr>
                  </w:pPr>
                  <w:r>
                    <w:rPr>
                      <w:rFonts w:hint="eastAsia"/>
                      <w:color w:val="auto"/>
                    </w:rPr>
                    <w:t>符合</w:t>
                  </w:r>
                </w:p>
              </w:tc>
            </w:tr>
            <w:tr w14:paraId="138750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tcBorders>
                    <w:tl2br w:val="nil"/>
                    <w:tr2bl w:val="nil"/>
                  </w:tcBorders>
                  <w:vAlign w:val="center"/>
                </w:tcPr>
                <w:p w14:paraId="41801BF0">
                  <w:pPr>
                    <w:pStyle w:val="33"/>
                    <w:jc w:val="both"/>
                    <w:rPr>
                      <w:color w:val="auto"/>
                    </w:rPr>
                  </w:pPr>
                  <w:r>
                    <w:rPr>
                      <w:rFonts w:hint="eastAsia"/>
                      <w:color w:val="auto"/>
                    </w:rPr>
                    <w:t>2、厂区应合理布局，各功能区域划分明显，并有适当的分离或分隔措施，防止交叉污染</w:t>
                  </w:r>
                </w:p>
              </w:tc>
              <w:tc>
                <w:tcPr>
                  <w:tcW w:w="2936" w:type="dxa"/>
                  <w:tcBorders>
                    <w:tl2br w:val="nil"/>
                    <w:tr2bl w:val="nil"/>
                  </w:tcBorders>
                  <w:vAlign w:val="center"/>
                </w:tcPr>
                <w:p w14:paraId="6ABCA771">
                  <w:pPr>
                    <w:pStyle w:val="33"/>
                    <w:jc w:val="both"/>
                    <w:rPr>
                      <w:color w:val="auto"/>
                    </w:rPr>
                  </w:pPr>
                  <w:r>
                    <w:rPr>
                      <w:color w:val="auto"/>
                    </w:rPr>
                    <w:t>项目厂区功能分区明确，主要设置原料库、预处理及粉碎调配区、熟制区、包装区、成品库及办公辅助区等，各功能区域相对独立，并通过墙体、通道等进行分隔，有利于减少生产过程中的相互干扰及交叉污染。</w:t>
                  </w:r>
                </w:p>
              </w:tc>
              <w:tc>
                <w:tcPr>
                  <w:tcW w:w="722" w:type="dxa"/>
                  <w:tcBorders>
                    <w:tl2br w:val="nil"/>
                    <w:tr2bl w:val="nil"/>
                  </w:tcBorders>
                  <w:vAlign w:val="center"/>
                </w:tcPr>
                <w:p w14:paraId="62709169">
                  <w:pPr>
                    <w:pStyle w:val="33"/>
                    <w:rPr>
                      <w:color w:val="auto"/>
                    </w:rPr>
                  </w:pPr>
                  <w:r>
                    <w:rPr>
                      <w:rFonts w:hint="eastAsia"/>
                      <w:color w:val="auto"/>
                    </w:rPr>
                    <w:t>符合</w:t>
                  </w:r>
                </w:p>
              </w:tc>
            </w:tr>
            <w:tr w14:paraId="2AEDA8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tcBorders>
                    <w:tl2br w:val="nil"/>
                    <w:tr2bl w:val="nil"/>
                  </w:tcBorders>
                  <w:vAlign w:val="center"/>
                </w:tcPr>
                <w:p w14:paraId="4929D7CF">
                  <w:pPr>
                    <w:pStyle w:val="33"/>
                    <w:jc w:val="both"/>
                    <w:rPr>
                      <w:color w:val="auto"/>
                    </w:rPr>
                  </w:pPr>
                  <w:r>
                    <w:rPr>
                      <w:rFonts w:hint="eastAsia"/>
                      <w:color w:val="auto"/>
                    </w:rPr>
                    <w:t>3、厂区内的道路应铺设混凝土、沥青、或者其他硬质材料；空地应采取必要措施，如铺设水泥、地砖或铺设草坪等方式，保持环境清洁，防止正常天气下扬尘和积水等现象的发生。</w:t>
                  </w:r>
                </w:p>
              </w:tc>
              <w:tc>
                <w:tcPr>
                  <w:tcW w:w="2936" w:type="dxa"/>
                  <w:tcBorders>
                    <w:tl2br w:val="nil"/>
                    <w:tr2bl w:val="nil"/>
                  </w:tcBorders>
                  <w:vAlign w:val="center"/>
                </w:tcPr>
                <w:p w14:paraId="65490EF1">
                  <w:pPr>
                    <w:pStyle w:val="33"/>
                    <w:jc w:val="both"/>
                    <w:rPr>
                      <w:color w:val="auto"/>
                    </w:rPr>
                  </w:pPr>
                  <w:r>
                    <w:rPr>
                      <w:color w:val="auto"/>
                    </w:rPr>
                    <w:t>项目厂区内部道路均为水泥地面，保持整洁卫生，不会产生积水、扬尘污染等现象。</w:t>
                  </w:r>
                </w:p>
              </w:tc>
              <w:tc>
                <w:tcPr>
                  <w:tcW w:w="722" w:type="dxa"/>
                  <w:tcBorders>
                    <w:tl2br w:val="nil"/>
                    <w:tr2bl w:val="nil"/>
                  </w:tcBorders>
                  <w:vAlign w:val="center"/>
                </w:tcPr>
                <w:p w14:paraId="3ECF1F39">
                  <w:pPr>
                    <w:pStyle w:val="33"/>
                    <w:rPr>
                      <w:color w:val="auto"/>
                    </w:rPr>
                  </w:pPr>
                  <w:r>
                    <w:rPr>
                      <w:rFonts w:hint="eastAsia"/>
                      <w:color w:val="auto"/>
                    </w:rPr>
                    <w:t>符合</w:t>
                  </w:r>
                </w:p>
              </w:tc>
            </w:tr>
            <w:tr w14:paraId="5DF0BE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tcBorders>
                    <w:tl2br w:val="nil"/>
                    <w:tr2bl w:val="nil"/>
                  </w:tcBorders>
                  <w:vAlign w:val="center"/>
                </w:tcPr>
                <w:p w14:paraId="7A5B565D">
                  <w:pPr>
                    <w:pStyle w:val="33"/>
                    <w:jc w:val="both"/>
                    <w:rPr>
                      <w:color w:val="auto"/>
                    </w:rPr>
                  </w:pPr>
                  <w:r>
                    <w:rPr>
                      <w:rFonts w:hint="eastAsia"/>
                      <w:color w:val="auto"/>
                    </w:rPr>
                    <w:t>4、厂区绿化应与生产车间保持适当距离，植被应定期维护，以防止虫害的孽生。</w:t>
                  </w:r>
                </w:p>
              </w:tc>
              <w:tc>
                <w:tcPr>
                  <w:tcW w:w="2936" w:type="dxa"/>
                  <w:tcBorders>
                    <w:tl2br w:val="nil"/>
                    <w:tr2bl w:val="nil"/>
                  </w:tcBorders>
                  <w:vAlign w:val="center"/>
                </w:tcPr>
                <w:p w14:paraId="1D0D2ED0">
                  <w:pPr>
                    <w:pStyle w:val="33"/>
                    <w:jc w:val="both"/>
                    <w:rPr>
                      <w:color w:val="auto"/>
                    </w:rPr>
                  </w:pPr>
                  <w:r>
                    <w:rPr>
                      <w:rFonts w:hint="eastAsia"/>
                      <w:color w:val="auto"/>
                    </w:rPr>
                    <w:t>本项目占用柳州市柳江区新兴工业园利业路30号1-1厂房东北部3028平方米的土地使用权进行调味品的生产，绿化主要是园区内部道路的绿化，与生产车间有一定距离。</w:t>
                  </w:r>
                </w:p>
              </w:tc>
              <w:tc>
                <w:tcPr>
                  <w:tcW w:w="722" w:type="dxa"/>
                  <w:tcBorders>
                    <w:tl2br w:val="nil"/>
                    <w:tr2bl w:val="nil"/>
                  </w:tcBorders>
                  <w:vAlign w:val="center"/>
                </w:tcPr>
                <w:p w14:paraId="1DC9B350">
                  <w:pPr>
                    <w:pStyle w:val="33"/>
                    <w:rPr>
                      <w:color w:val="auto"/>
                    </w:rPr>
                  </w:pPr>
                  <w:r>
                    <w:rPr>
                      <w:rFonts w:hint="eastAsia"/>
                      <w:color w:val="auto"/>
                    </w:rPr>
                    <w:t>符合</w:t>
                  </w:r>
                </w:p>
              </w:tc>
            </w:tr>
            <w:tr w14:paraId="129BDD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tcBorders>
                    <w:tl2br w:val="nil"/>
                    <w:tr2bl w:val="nil"/>
                  </w:tcBorders>
                  <w:vAlign w:val="center"/>
                </w:tcPr>
                <w:p w14:paraId="77B80F8D">
                  <w:pPr>
                    <w:pStyle w:val="33"/>
                    <w:jc w:val="both"/>
                    <w:rPr>
                      <w:color w:val="auto"/>
                    </w:rPr>
                  </w:pPr>
                  <w:r>
                    <w:rPr>
                      <w:rFonts w:hint="eastAsia"/>
                      <w:color w:val="auto"/>
                    </w:rPr>
                    <w:t>5、厂区应有适当的排水系统。</w:t>
                  </w:r>
                </w:p>
              </w:tc>
              <w:tc>
                <w:tcPr>
                  <w:tcW w:w="2936" w:type="dxa"/>
                  <w:tcBorders>
                    <w:tl2br w:val="nil"/>
                    <w:tr2bl w:val="nil"/>
                  </w:tcBorders>
                  <w:vAlign w:val="center"/>
                </w:tcPr>
                <w:p w14:paraId="6B3986B6">
                  <w:pPr>
                    <w:pStyle w:val="33"/>
                    <w:jc w:val="both"/>
                    <w:rPr>
                      <w:color w:val="auto"/>
                    </w:rPr>
                  </w:pPr>
                  <w:r>
                    <w:rPr>
                      <w:rFonts w:hint="eastAsia"/>
                      <w:color w:val="auto"/>
                    </w:rPr>
                    <w:t>厂区内设置有排水系统。</w:t>
                  </w:r>
                </w:p>
              </w:tc>
              <w:tc>
                <w:tcPr>
                  <w:tcW w:w="722" w:type="dxa"/>
                  <w:tcBorders>
                    <w:tl2br w:val="nil"/>
                    <w:tr2bl w:val="nil"/>
                  </w:tcBorders>
                  <w:vAlign w:val="center"/>
                </w:tcPr>
                <w:p w14:paraId="18F1E2F0">
                  <w:pPr>
                    <w:pStyle w:val="33"/>
                    <w:rPr>
                      <w:color w:val="auto"/>
                    </w:rPr>
                  </w:pPr>
                  <w:r>
                    <w:rPr>
                      <w:rFonts w:hint="eastAsia"/>
                      <w:color w:val="auto"/>
                    </w:rPr>
                    <w:t>符合</w:t>
                  </w:r>
                </w:p>
              </w:tc>
            </w:tr>
            <w:tr w14:paraId="70779D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tcBorders>
                    <w:tl2br w:val="nil"/>
                    <w:tr2bl w:val="nil"/>
                  </w:tcBorders>
                  <w:vAlign w:val="center"/>
                </w:tcPr>
                <w:p w14:paraId="008ED47F">
                  <w:pPr>
                    <w:pStyle w:val="33"/>
                    <w:jc w:val="both"/>
                    <w:rPr>
                      <w:color w:val="auto"/>
                    </w:rPr>
                  </w:pPr>
                  <w:r>
                    <w:rPr>
                      <w:rFonts w:hint="eastAsia"/>
                      <w:color w:val="auto"/>
                    </w:rPr>
                    <w:t>6、宿舍、食堂、职工娱乐设施等生活区应与生产区保持适当距离或分隔。</w:t>
                  </w:r>
                </w:p>
              </w:tc>
              <w:tc>
                <w:tcPr>
                  <w:tcW w:w="2936" w:type="dxa"/>
                  <w:tcBorders>
                    <w:tl2br w:val="nil"/>
                    <w:tr2bl w:val="nil"/>
                  </w:tcBorders>
                  <w:vAlign w:val="center"/>
                </w:tcPr>
                <w:p w14:paraId="027ACC0E">
                  <w:pPr>
                    <w:pStyle w:val="33"/>
                    <w:jc w:val="both"/>
                    <w:rPr>
                      <w:color w:val="auto"/>
                    </w:rPr>
                  </w:pPr>
                  <w:r>
                    <w:rPr>
                      <w:rFonts w:hint="eastAsia"/>
                      <w:color w:val="auto"/>
                    </w:rPr>
                    <w:t>本项目不设员工宿舍、食堂及职工娱乐设施，办公、更衣等辅助区域与生产区域分隔设置。</w:t>
                  </w:r>
                </w:p>
              </w:tc>
              <w:tc>
                <w:tcPr>
                  <w:tcW w:w="722" w:type="dxa"/>
                  <w:tcBorders>
                    <w:tl2br w:val="nil"/>
                    <w:tr2bl w:val="nil"/>
                  </w:tcBorders>
                  <w:vAlign w:val="center"/>
                </w:tcPr>
                <w:p w14:paraId="3BF2E63E">
                  <w:pPr>
                    <w:pStyle w:val="33"/>
                    <w:rPr>
                      <w:color w:val="auto"/>
                    </w:rPr>
                  </w:pPr>
                  <w:r>
                    <w:rPr>
                      <w:rFonts w:hint="eastAsia"/>
                      <w:color w:val="auto"/>
                    </w:rPr>
                    <w:t>符合</w:t>
                  </w:r>
                </w:p>
              </w:tc>
            </w:tr>
          </w:tbl>
          <w:p w14:paraId="37E1C882">
            <w:pPr>
              <w:ind w:firstLine="480"/>
              <w:rPr>
                <w:color w:val="auto"/>
              </w:rPr>
            </w:pPr>
            <w:r>
              <w:rPr>
                <w:rFonts w:hint="eastAsia"/>
                <w:color w:val="auto"/>
              </w:rPr>
              <w:t>通过上表分析，本项目的选址符合《食品生产通用卫生规范》（GB14881-2013）中对食品生产企业选址的相关要求。</w:t>
            </w:r>
          </w:p>
          <w:p w14:paraId="6BD6060E">
            <w:pPr>
              <w:ind w:firstLine="482"/>
              <w:rPr>
                <w:color w:val="auto"/>
              </w:rPr>
            </w:pPr>
            <w:r>
              <w:rPr>
                <w:rFonts w:hint="eastAsia"/>
                <w:b/>
                <w:bCs/>
                <w:color w:val="auto"/>
              </w:rPr>
              <w:t>3、项目选址合理性分析</w:t>
            </w:r>
          </w:p>
          <w:p w14:paraId="0CB33755">
            <w:pPr>
              <w:ind w:firstLine="480"/>
              <w:rPr>
                <w:color w:val="auto"/>
              </w:rPr>
            </w:pPr>
            <w:r>
              <w:rPr>
                <w:rFonts w:hint="eastAsia"/>
                <w:color w:val="auto"/>
              </w:rPr>
              <w:t>本项目位于柳州市柳江区新兴工业园利业路30号1-1，企业已取得该地块土地使用权及相关产权手续，本次利用现有厂区东部北部约3028平方米区域建设调味品生产项目，原厂房为空置状态，不动产权证等相关资料见附件。根据《柳州市柳江区新兴工业园产业发展规划（2020-2025）》及新兴工业园集中区土地利用规划图，项目所在地块为二类工业用地</w:t>
            </w:r>
            <w:r>
              <w:rPr>
                <w:rFonts w:hint="eastAsia"/>
                <w:color w:val="auto"/>
                <w:lang w:eastAsia="zh-CN"/>
              </w:rPr>
              <w:t>，</w:t>
            </w:r>
            <w:r>
              <w:rPr>
                <w:rFonts w:hint="eastAsia"/>
                <w:color w:val="auto"/>
                <w:lang w:val="en-US" w:eastAsia="zh-CN"/>
              </w:rPr>
              <w:t>见附图5</w:t>
            </w:r>
            <w:r>
              <w:rPr>
                <w:rFonts w:hint="eastAsia"/>
                <w:color w:val="auto"/>
              </w:rPr>
              <w:t>。</w:t>
            </w:r>
          </w:p>
          <w:p w14:paraId="525E6F40">
            <w:pPr>
              <w:ind w:firstLine="480"/>
              <w:rPr>
                <w:color w:val="auto"/>
              </w:rPr>
            </w:pPr>
            <w:r>
              <w:rPr>
                <w:rFonts w:hint="eastAsia"/>
                <w:color w:val="auto"/>
              </w:rPr>
              <w:t>项目厂址不涉及自然保护区、风景名胜区、森林公园，不在柳州市市区饮用水水源保护区范围内，项目选址交通便利。根据现场踏勘及园区规划资料，项目周边主要为园区道路、食品加工企业及一般工业厂房，与本项目生产性质相容。根据园区规划要求，项目所在园区禁止引入化工、冶炼、造纸、制革等污染较重行业，本项目属于C1469调味品、发酵制品制造，符合园区食品加工产业定位。</w:t>
            </w:r>
          </w:p>
          <w:p w14:paraId="0BDECD02">
            <w:pPr>
              <w:ind w:firstLine="480"/>
              <w:rPr>
                <w:color w:val="auto"/>
              </w:rPr>
            </w:pPr>
            <w:r>
              <w:rPr>
                <w:rFonts w:hint="eastAsia"/>
                <w:color w:val="auto"/>
              </w:rPr>
              <w:t>本项目运营过程中产生的废水、废气、噪声及固体废物均采取相应污染防治措施。经采取有效环保措施后，各污染物可实现达标排放，对周边环境影响较小。</w:t>
            </w:r>
          </w:p>
          <w:p w14:paraId="7D6B88A2">
            <w:pPr>
              <w:ind w:firstLine="480"/>
              <w:rPr>
                <w:color w:val="auto"/>
              </w:rPr>
            </w:pPr>
            <w:r>
              <w:rPr>
                <w:rFonts w:hint="eastAsia"/>
                <w:color w:val="auto"/>
              </w:rPr>
              <w:t>综上，本项目选址符合区域土地利用规划及园区产业发展要求，符合食品生产企业选址相关规定，项目选址合理。</w:t>
            </w:r>
          </w:p>
          <w:p w14:paraId="2165B6EC">
            <w:pPr>
              <w:ind w:firstLine="482"/>
              <w:rPr>
                <w:color w:val="auto"/>
              </w:rPr>
            </w:pPr>
            <w:r>
              <w:rPr>
                <w:rFonts w:hint="eastAsia"/>
                <w:b/>
                <w:bCs/>
                <w:color w:val="auto"/>
              </w:rPr>
              <w:t>4、项目与《柳州市国土空间总体规划（2021-2035年）》相符性分析</w:t>
            </w:r>
          </w:p>
          <w:p w14:paraId="5627502D">
            <w:pPr>
              <w:ind w:firstLine="480"/>
              <w:rPr>
                <w:color w:val="auto"/>
              </w:rPr>
            </w:pPr>
            <w:r>
              <w:rPr>
                <w:color w:val="auto"/>
              </w:rPr>
              <w:t>根据《柳州市国土空间总体规划（2021—2035年）》及</w:t>
            </w:r>
            <w:r>
              <w:rPr>
                <w:rFonts w:hint="eastAsia" w:ascii="宋体" w:hAnsi="宋体" w:cs="宋体"/>
                <w:color w:val="auto"/>
              </w:rPr>
              <w:t>“三线”</w:t>
            </w:r>
            <w:r>
              <w:rPr>
                <w:color w:val="auto"/>
              </w:rPr>
              <w:t>划定成果，“三区”包括生态空间、农业空间和城镇空间，</w:t>
            </w:r>
            <w:r>
              <w:rPr>
                <w:rFonts w:hint="eastAsia" w:ascii="宋体" w:hAnsi="宋体" w:cs="宋体"/>
                <w:color w:val="auto"/>
              </w:rPr>
              <w:t>“三线”</w:t>
            </w:r>
            <w:r>
              <w:rPr>
                <w:color w:val="auto"/>
              </w:rPr>
              <w:t>包括生态保护红线、永久基本农田和城镇开发边界。</w:t>
            </w:r>
          </w:p>
          <w:p w14:paraId="3D3BC363">
            <w:pPr>
              <w:ind w:firstLine="480"/>
              <w:rPr>
                <w:color w:val="auto"/>
              </w:rPr>
            </w:pPr>
            <w:r>
              <w:rPr>
                <w:color w:val="auto"/>
              </w:rPr>
              <w:t>本项目位于柳州市柳江区新兴工业园利业路30号1-1，企业已取得该地块土地使用权及相关产权手续，本次利用现有工业厂房建设调味品生产项目。根据柳州市“三区三线”划定成果，项目所在地位于城镇开发边界范围内，不涉及生态保护红线，不占用永久基本农田，符合国土空间用途管制要求。</w:t>
            </w:r>
          </w:p>
          <w:p w14:paraId="38C37C2A">
            <w:pPr>
              <w:ind w:firstLine="480"/>
              <w:rPr>
                <w:color w:val="auto"/>
              </w:rPr>
            </w:pPr>
            <w:r>
              <w:rPr>
                <w:color w:val="auto"/>
              </w:rPr>
              <w:t>综上，本项目建设符合《柳州市国土空间总体规划（2021—2035年）》及柳州市“三区三线”管控要求。</w:t>
            </w:r>
          </w:p>
          <w:p w14:paraId="3E7F30DF">
            <w:pPr>
              <w:ind w:firstLine="482"/>
              <w:rPr>
                <w:color w:val="auto"/>
              </w:rPr>
            </w:pPr>
            <w:r>
              <w:rPr>
                <w:rFonts w:hint="eastAsia"/>
                <w:b/>
                <w:bCs/>
                <w:color w:val="auto"/>
              </w:rPr>
              <w:t>5、与柳州市生态环境分区管控相符性分析</w:t>
            </w:r>
          </w:p>
          <w:p w14:paraId="3082BE25">
            <w:pPr>
              <w:ind w:firstLine="480"/>
              <w:rPr>
                <w:color w:val="auto"/>
              </w:rPr>
            </w:pPr>
            <w:r>
              <w:rPr>
                <w:rFonts w:hint="eastAsia"/>
                <w:color w:val="auto"/>
              </w:rPr>
              <w:t>（1）生态保护红线</w:t>
            </w:r>
          </w:p>
          <w:p w14:paraId="22C550D5">
            <w:pPr>
              <w:ind w:firstLine="480"/>
              <w:rPr>
                <w:color w:val="auto"/>
              </w:rPr>
            </w:pPr>
            <w:r>
              <w:rPr>
                <w:rFonts w:hint="eastAsia"/>
                <w:color w:val="auto"/>
              </w:rPr>
              <w:t>项目位于柳州市柳江区新兴工业园利业路30号1-1，根据柳州市生态环境局关于印发实施《柳州市生态环境分区管控动态更新成果（2023年）》的通知（柳环规〔2024〕1号）及“广西生态云建设项目准入研判系统”平台三线一单智能研判结果，本项目涉及的管控单元为柳州市柳江区新兴工业园重点管控单元，管控单元编码为ZH45020620001，不涉及生态保护红线。项目所在单元具体管控要求详见表1-6。</w:t>
            </w:r>
          </w:p>
          <w:p w14:paraId="06BAC87C">
            <w:pPr>
              <w:pStyle w:val="35"/>
              <w:rPr>
                <w:rFonts w:hint="default"/>
                <w:color w:val="auto"/>
              </w:rPr>
            </w:pPr>
            <w:r>
              <w:rPr>
                <w:color w:val="auto"/>
              </w:rPr>
              <w:t>表1-6 柳州市柳江区新兴工业园重点管控单元生态环境准入及管控要求</w:t>
            </w:r>
          </w:p>
          <w:tbl>
            <w:tblPr>
              <w:tblStyle w:val="17"/>
              <w:tblW w:w="675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75"/>
              <w:gridCol w:w="3450"/>
              <w:gridCol w:w="2042"/>
              <w:gridCol w:w="687"/>
            </w:tblGrid>
            <w:tr w14:paraId="66D6E4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25" w:type="dxa"/>
                  <w:gridSpan w:val="2"/>
                  <w:tcBorders>
                    <w:tl2br w:val="nil"/>
                    <w:tr2bl w:val="nil"/>
                  </w:tcBorders>
                  <w:vAlign w:val="center"/>
                </w:tcPr>
                <w:p w14:paraId="46A9ED00">
                  <w:pPr>
                    <w:pStyle w:val="33"/>
                    <w:rPr>
                      <w:color w:val="auto"/>
                    </w:rPr>
                  </w:pPr>
                  <w:r>
                    <w:rPr>
                      <w:rFonts w:hint="eastAsia"/>
                      <w:color w:val="auto"/>
                    </w:rPr>
                    <w:t>生态环境准入及管控要求</w:t>
                  </w:r>
                </w:p>
              </w:tc>
              <w:tc>
                <w:tcPr>
                  <w:tcW w:w="2042" w:type="dxa"/>
                  <w:tcBorders>
                    <w:tl2br w:val="nil"/>
                    <w:tr2bl w:val="nil"/>
                  </w:tcBorders>
                  <w:vAlign w:val="center"/>
                </w:tcPr>
                <w:p w14:paraId="7FF5FC6D">
                  <w:pPr>
                    <w:pStyle w:val="33"/>
                    <w:rPr>
                      <w:color w:val="auto"/>
                    </w:rPr>
                  </w:pPr>
                  <w:r>
                    <w:rPr>
                      <w:rFonts w:hint="eastAsia"/>
                      <w:color w:val="auto"/>
                    </w:rPr>
                    <w:t>本项目情况</w:t>
                  </w:r>
                </w:p>
              </w:tc>
              <w:tc>
                <w:tcPr>
                  <w:tcW w:w="687" w:type="dxa"/>
                  <w:tcBorders>
                    <w:tl2br w:val="nil"/>
                    <w:tr2bl w:val="nil"/>
                  </w:tcBorders>
                  <w:vAlign w:val="center"/>
                </w:tcPr>
                <w:p w14:paraId="1AE1E33A">
                  <w:pPr>
                    <w:pStyle w:val="33"/>
                    <w:rPr>
                      <w:color w:val="auto"/>
                    </w:rPr>
                  </w:pPr>
                  <w:r>
                    <w:rPr>
                      <w:rFonts w:hint="eastAsia"/>
                      <w:color w:val="auto"/>
                    </w:rPr>
                    <w:t>是否相符</w:t>
                  </w:r>
                </w:p>
              </w:tc>
            </w:tr>
            <w:tr w14:paraId="24E826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tcBorders>
                    <w:tl2br w:val="nil"/>
                    <w:tr2bl w:val="nil"/>
                  </w:tcBorders>
                  <w:vAlign w:val="center"/>
                </w:tcPr>
                <w:p w14:paraId="5D15CB7E">
                  <w:pPr>
                    <w:pStyle w:val="33"/>
                    <w:rPr>
                      <w:color w:val="auto"/>
                    </w:rPr>
                  </w:pPr>
                  <w:r>
                    <w:rPr>
                      <w:rFonts w:hint="eastAsia"/>
                      <w:color w:val="auto"/>
                    </w:rPr>
                    <w:t>空间布局约束</w:t>
                  </w:r>
                </w:p>
              </w:tc>
              <w:tc>
                <w:tcPr>
                  <w:tcW w:w="3450" w:type="dxa"/>
                  <w:tcBorders>
                    <w:tl2br w:val="nil"/>
                    <w:tr2bl w:val="nil"/>
                  </w:tcBorders>
                  <w:vAlign w:val="center"/>
                </w:tcPr>
                <w:p w14:paraId="282C943D">
                  <w:pPr>
                    <w:pStyle w:val="33"/>
                    <w:jc w:val="both"/>
                    <w:rPr>
                      <w:color w:val="auto"/>
                    </w:rPr>
                  </w:pPr>
                  <w:r>
                    <w:rPr>
                      <w:rFonts w:hint="eastAsia"/>
                      <w:color w:val="auto"/>
                    </w:rPr>
                    <w:t>1.入园项目必须符合国家、自治区产业政策、供地政策、园区产业定位及园区规划环评结论及审查意见。新建、改建、扩建项目应按照国家、自治区行业建设项目环境影响评价文件审批原则入园；加快布局分散的企业向园区集中。</w:t>
                  </w:r>
                </w:p>
                <w:p w14:paraId="513FBE7A">
                  <w:pPr>
                    <w:pStyle w:val="33"/>
                    <w:jc w:val="both"/>
                    <w:rPr>
                      <w:color w:val="auto"/>
                    </w:rPr>
                  </w:pPr>
                  <w:r>
                    <w:rPr>
                      <w:rFonts w:hint="eastAsia"/>
                      <w:color w:val="auto"/>
                    </w:rPr>
                    <w:t>2．强化源头管控，新上项目能效需达到国家、自治区相关标准要求。</w:t>
                  </w:r>
                </w:p>
                <w:p w14:paraId="157B31C1">
                  <w:pPr>
                    <w:pStyle w:val="33"/>
                    <w:jc w:val="both"/>
                    <w:rPr>
                      <w:color w:val="auto"/>
                    </w:rPr>
                  </w:pPr>
                  <w:r>
                    <w:rPr>
                      <w:rFonts w:hint="eastAsia"/>
                      <w:color w:val="auto"/>
                    </w:rPr>
                    <w:t>3．靠近居住用地周围的工业用地应布置污染类较轻企业，留足防护距离。</w:t>
                  </w:r>
                </w:p>
              </w:tc>
              <w:tc>
                <w:tcPr>
                  <w:tcW w:w="2042" w:type="dxa"/>
                  <w:tcBorders>
                    <w:tl2br w:val="nil"/>
                    <w:tr2bl w:val="nil"/>
                  </w:tcBorders>
                  <w:vAlign w:val="center"/>
                </w:tcPr>
                <w:p w14:paraId="32306E04">
                  <w:pPr>
                    <w:pStyle w:val="33"/>
                    <w:jc w:val="both"/>
                    <w:rPr>
                      <w:color w:val="auto"/>
                    </w:rPr>
                  </w:pPr>
                  <w:r>
                    <w:rPr>
                      <w:color w:val="auto"/>
                    </w:rPr>
                    <w:t>本项目为复合调味料生产项目，位于柳州市柳江区新兴工业园利业路30号1-1，属于园区食品加工产业范畴，符合国家、自治区产业政策及园区产业定位。项目利用现有空置工业厂房进行建设，不新增工业用地，周边主要为园区道路、食品加工企业及一般工业企业。项目生产过程中不涉及重金属污染物排放，生产废水经预处理后排入园区污水管网，不属于园区限制或禁止准入的污染较重项目。</w:t>
                  </w:r>
                </w:p>
              </w:tc>
              <w:tc>
                <w:tcPr>
                  <w:tcW w:w="687" w:type="dxa"/>
                  <w:tcBorders>
                    <w:tl2br w:val="nil"/>
                    <w:tr2bl w:val="nil"/>
                  </w:tcBorders>
                  <w:vAlign w:val="center"/>
                </w:tcPr>
                <w:p w14:paraId="06F94C13">
                  <w:pPr>
                    <w:pStyle w:val="33"/>
                    <w:rPr>
                      <w:color w:val="auto"/>
                    </w:rPr>
                  </w:pPr>
                  <w:r>
                    <w:rPr>
                      <w:rFonts w:hint="eastAsia"/>
                      <w:color w:val="auto"/>
                    </w:rPr>
                    <w:t>相符</w:t>
                  </w:r>
                </w:p>
              </w:tc>
            </w:tr>
            <w:tr w14:paraId="575993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tcBorders>
                    <w:tl2br w:val="nil"/>
                    <w:tr2bl w:val="nil"/>
                  </w:tcBorders>
                  <w:vAlign w:val="center"/>
                </w:tcPr>
                <w:p w14:paraId="79144666">
                  <w:pPr>
                    <w:pStyle w:val="33"/>
                    <w:rPr>
                      <w:color w:val="auto"/>
                    </w:rPr>
                  </w:pPr>
                  <w:r>
                    <w:rPr>
                      <w:rFonts w:hint="eastAsia"/>
                      <w:color w:val="auto"/>
                    </w:rPr>
                    <w:t>污染物排放管控</w:t>
                  </w:r>
                </w:p>
              </w:tc>
              <w:tc>
                <w:tcPr>
                  <w:tcW w:w="3450" w:type="dxa"/>
                  <w:tcBorders>
                    <w:tl2br w:val="nil"/>
                    <w:tr2bl w:val="nil"/>
                  </w:tcBorders>
                  <w:vAlign w:val="center"/>
                </w:tcPr>
                <w:p w14:paraId="19DDB2FD">
                  <w:pPr>
                    <w:pStyle w:val="33"/>
                    <w:jc w:val="both"/>
                    <w:rPr>
                      <w:color w:val="auto"/>
                    </w:rPr>
                  </w:pPr>
                  <w:r>
                    <w:rPr>
                      <w:color w:val="auto"/>
                    </w:rPr>
                    <w:t>1．大力推进低氮燃烧和烟气脱硝，有序推进集中供气、供热，依法淘汰取缔不符合环保准入条件的小型燃煤锅炉。</w:t>
                  </w:r>
                </w:p>
                <w:p w14:paraId="6928582B">
                  <w:pPr>
                    <w:pStyle w:val="33"/>
                    <w:jc w:val="both"/>
                    <w:rPr>
                      <w:color w:val="auto"/>
                    </w:rPr>
                  </w:pPr>
                  <w:r>
                    <w:rPr>
                      <w:color w:val="auto"/>
                    </w:rPr>
                    <w:t>2．加快区域雨污管网以及河表片区污水处理厂、PCB污水处理厂的建设，实行</w:t>
                  </w:r>
                  <w:r>
                    <w:rPr>
                      <w:rFonts w:hint="eastAsia" w:ascii="宋体" w:hAnsi="宋体" w:cs="宋体"/>
                      <w:color w:val="auto"/>
                    </w:rPr>
                    <w:t>“清污分流、雨污分流”</w:t>
                  </w:r>
                  <w:r>
                    <w:rPr>
                      <w:color w:val="auto"/>
                    </w:rPr>
                    <w:t>，实现废水分类收集、分质处理，入园企业应在达到国家或地方规定的排放标准或达到运营单位与纳管企业约定的水质水量后，接入集中式污水处理设施处理并实时监控。</w:t>
                  </w:r>
                </w:p>
                <w:p w14:paraId="4BCB55AB">
                  <w:pPr>
                    <w:pStyle w:val="33"/>
                    <w:jc w:val="both"/>
                    <w:rPr>
                      <w:color w:val="auto"/>
                    </w:rPr>
                  </w:pPr>
                  <w:r>
                    <w:rPr>
                      <w:color w:val="auto"/>
                    </w:rPr>
                    <w:t>3．园区及园区企业排放水污染物，要满足国家或者地方规定的水污染物排放标准和重点水污染物排放总量控制指标。</w:t>
                  </w:r>
                </w:p>
                <w:p w14:paraId="52A2581D">
                  <w:pPr>
                    <w:pStyle w:val="33"/>
                    <w:jc w:val="both"/>
                    <w:rPr>
                      <w:color w:val="auto"/>
                    </w:rPr>
                  </w:pPr>
                  <w:r>
                    <w:rPr>
                      <w:color w:val="auto"/>
                    </w:rPr>
                    <w:t>4．加快实施低VOCs含量原辅材料替代。园区内溶剂型涂料、油墨、胶粘剂、清洗剂使用企业制定低VOCs含量原辅材料替代计划。全面推进汽车整车制造底漆、中涂、色漆使用低VOCs含量涂料；在汽车零部件、工程机械、钢结</w:t>
                  </w:r>
                  <w:r>
                    <w:rPr>
                      <w:rFonts w:hint="eastAsia"/>
                      <w:color w:val="auto"/>
                    </w:rPr>
                    <w:t>构等</w:t>
                  </w:r>
                  <w:r>
                    <w:rPr>
                      <w:color w:val="auto"/>
                    </w:rPr>
                    <w:t>技术成熟的工艺环节，大力推广使用低VOCs含量涂料。</w:t>
                  </w:r>
                </w:p>
                <w:p w14:paraId="391B25F4">
                  <w:pPr>
                    <w:pStyle w:val="33"/>
                    <w:jc w:val="both"/>
                    <w:rPr>
                      <w:color w:val="auto"/>
                    </w:rPr>
                  </w:pPr>
                  <w:r>
                    <w:rPr>
                      <w:color w:val="auto"/>
                    </w:rPr>
                    <w:t>5．调整工业集中区内的污水处理厂设计规模，满足园区废水处理需求，新兴污水处理厂和PCB污水处理厂的尾水量总负荷应控制在评价河段水环境容量范围内。</w:t>
                  </w:r>
                </w:p>
              </w:tc>
              <w:tc>
                <w:tcPr>
                  <w:tcW w:w="2042" w:type="dxa"/>
                  <w:tcBorders>
                    <w:tl2br w:val="nil"/>
                    <w:tr2bl w:val="nil"/>
                  </w:tcBorders>
                  <w:vAlign w:val="center"/>
                </w:tcPr>
                <w:p w14:paraId="618BDE2D">
                  <w:pPr>
                    <w:pStyle w:val="33"/>
                    <w:rPr>
                      <w:color w:val="auto"/>
                    </w:rPr>
                  </w:pPr>
                  <w:r>
                    <w:rPr>
                      <w:color w:val="auto"/>
                    </w:rPr>
                    <w:t>本项目废气主要包括粉碎、投料及混合等工序产生的颗粒物，热制、炒制工序产生的油烟及天然气燃烧废气，各类废气经收集处理后统一通过1根排气筒（DA001）有组织排放。项目生产废水主要包括原料清洗废水、设备清洗废水及地面清洗废水，经厂区污水处理设施处理后排入园区污水管网；生活污水经化粪池预处理后排入园区污水管网。本项目不涉及电镀、PCB生产及溶剂型涂料、油墨、胶粘剂等高VOCs含量原辅材料使用。</w:t>
                  </w:r>
                </w:p>
              </w:tc>
              <w:tc>
                <w:tcPr>
                  <w:tcW w:w="687" w:type="dxa"/>
                  <w:tcBorders>
                    <w:tl2br w:val="nil"/>
                    <w:tr2bl w:val="nil"/>
                  </w:tcBorders>
                  <w:vAlign w:val="center"/>
                </w:tcPr>
                <w:p w14:paraId="4DD74AB3">
                  <w:pPr>
                    <w:pStyle w:val="33"/>
                    <w:rPr>
                      <w:color w:val="auto"/>
                    </w:rPr>
                  </w:pPr>
                  <w:r>
                    <w:rPr>
                      <w:rFonts w:hint="eastAsia"/>
                      <w:color w:val="auto"/>
                    </w:rPr>
                    <w:t>相符</w:t>
                  </w:r>
                </w:p>
              </w:tc>
            </w:tr>
            <w:tr w14:paraId="4071B2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tcBorders>
                    <w:tl2br w:val="nil"/>
                    <w:tr2bl w:val="nil"/>
                  </w:tcBorders>
                  <w:vAlign w:val="center"/>
                </w:tcPr>
                <w:p w14:paraId="227CE44E">
                  <w:pPr>
                    <w:pStyle w:val="33"/>
                    <w:rPr>
                      <w:color w:val="auto"/>
                    </w:rPr>
                  </w:pPr>
                  <w:r>
                    <w:rPr>
                      <w:rFonts w:hint="eastAsia"/>
                      <w:color w:val="auto"/>
                    </w:rPr>
                    <w:t>环境风险防控</w:t>
                  </w:r>
                </w:p>
              </w:tc>
              <w:tc>
                <w:tcPr>
                  <w:tcW w:w="3450" w:type="dxa"/>
                  <w:tcBorders>
                    <w:tl2br w:val="nil"/>
                    <w:tr2bl w:val="nil"/>
                  </w:tcBorders>
                  <w:vAlign w:val="center"/>
                </w:tcPr>
                <w:p w14:paraId="2C4F4467">
                  <w:pPr>
                    <w:pStyle w:val="33"/>
                    <w:jc w:val="both"/>
                    <w:rPr>
                      <w:color w:val="auto"/>
                    </w:rPr>
                  </w:pPr>
                  <w:r>
                    <w:rPr>
                      <w:color w:val="auto"/>
                    </w:rPr>
                    <w:t>1．涉重企业要采用新技术、新工艺，加快提标升级改造，实现全面达标排放。坚决淘汰不符合国家产业政策的落后生产工艺装备。防止对土壤和地下水造成污染。</w:t>
                  </w:r>
                </w:p>
                <w:p w14:paraId="77FFE281">
                  <w:pPr>
                    <w:pStyle w:val="33"/>
                    <w:jc w:val="both"/>
                    <w:rPr>
                      <w:color w:val="auto"/>
                    </w:rPr>
                  </w:pPr>
                  <w:r>
                    <w:rPr>
                      <w:color w:val="auto"/>
                    </w:rPr>
                    <w:t>2．列入建设用地土壤污染风险管控和修复名录的地块，不得作为住宅、公共管理与公共服务用地，应当采取风险管控措施或实施修复。对达到土壤污染风险评估报告确定的风险管控、修复目标的建设用地地块，可以申请移出建设用地土壤污染风险管控和修复名录。</w:t>
                  </w:r>
                </w:p>
                <w:p w14:paraId="2EA16CD2">
                  <w:pPr>
                    <w:pStyle w:val="33"/>
                    <w:jc w:val="both"/>
                    <w:rPr>
                      <w:color w:val="auto"/>
                    </w:rPr>
                  </w:pPr>
                  <w:r>
                    <w:rPr>
                      <w:color w:val="auto"/>
                    </w:rPr>
                    <w:t>3．对暂不开发利用的超标地块，实施以防止污染扩散为目的的风险管控；对拟开发利用为居住用地和商业、学校、医疗、养老机构等公共设施用地的超标地块，实施以安全利用为目的的风险管控。</w:t>
                  </w:r>
                </w:p>
              </w:tc>
              <w:tc>
                <w:tcPr>
                  <w:tcW w:w="2042" w:type="dxa"/>
                  <w:tcBorders>
                    <w:tl2br w:val="nil"/>
                    <w:tr2bl w:val="nil"/>
                  </w:tcBorders>
                  <w:vAlign w:val="center"/>
                </w:tcPr>
                <w:p w14:paraId="01D874CE">
                  <w:pPr>
                    <w:pStyle w:val="33"/>
                    <w:rPr>
                      <w:color w:val="auto"/>
                    </w:rPr>
                  </w:pPr>
                  <w:r>
                    <w:rPr>
                      <w:rFonts w:hint="eastAsia"/>
                      <w:color w:val="auto"/>
                    </w:rPr>
                    <w:t>本项目不涉及重金属；项目用地不属于列入建设用地土壤污染风险管控和修复名录的地块。</w:t>
                  </w:r>
                </w:p>
              </w:tc>
              <w:tc>
                <w:tcPr>
                  <w:tcW w:w="687" w:type="dxa"/>
                  <w:tcBorders>
                    <w:tl2br w:val="nil"/>
                    <w:tr2bl w:val="nil"/>
                  </w:tcBorders>
                  <w:vAlign w:val="center"/>
                </w:tcPr>
                <w:p w14:paraId="6805C55F">
                  <w:pPr>
                    <w:pStyle w:val="33"/>
                    <w:rPr>
                      <w:color w:val="auto"/>
                    </w:rPr>
                  </w:pPr>
                  <w:r>
                    <w:rPr>
                      <w:rFonts w:hint="eastAsia"/>
                      <w:color w:val="auto"/>
                    </w:rPr>
                    <w:t>相符</w:t>
                  </w:r>
                </w:p>
              </w:tc>
            </w:tr>
            <w:tr w14:paraId="4DE23D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tcBorders>
                    <w:tl2br w:val="nil"/>
                    <w:tr2bl w:val="nil"/>
                  </w:tcBorders>
                  <w:vAlign w:val="center"/>
                </w:tcPr>
                <w:p w14:paraId="64E2FCB6">
                  <w:pPr>
                    <w:pStyle w:val="33"/>
                    <w:rPr>
                      <w:color w:val="auto"/>
                    </w:rPr>
                  </w:pPr>
                  <w:r>
                    <w:rPr>
                      <w:rFonts w:hint="eastAsia"/>
                      <w:color w:val="auto"/>
                    </w:rPr>
                    <w:t>资源开发利用效率要求</w:t>
                  </w:r>
                </w:p>
              </w:tc>
              <w:tc>
                <w:tcPr>
                  <w:tcW w:w="3450" w:type="dxa"/>
                  <w:tcBorders>
                    <w:tl2br w:val="nil"/>
                    <w:tr2bl w:val="nil"/>
                  </w:tcBorders>
                  <w:vAlign w:val="center"/>
                </w:tcPr>
                <w:p w14:paraId="7305BC36">
                  <w:pPr>
                    <w:pStyle w:val="33"/>
                    <w:jc w:val="both"/>
                    <w:rPr>
                      <w:color w:val="auto"/>
                    </w:rPr>
                  </w:pPr>
                  <w:r>
                    <w:rPr>
                      <w:color w:val="auto"/>
                    </w:rPr>
                    <w:t>1．鼓励园区采用综合能源方式，推广使用清洁能源、低碳能源。推动工业园区集约利用水资源，实行水资源梯级优化利用和废水集中处理回用。</w:t>
                  </w:r>
                </w:p>
                <w:p w14:paraId="3E126B9D">
                  <w:pPr>
                    <w:pStyle w:val="33"/>
                    <w:jc w:val="both"/>
                    <w:rPr>
                      <w:color w:val="auto"/>
                    </w:rPr>
                  </w:pPr>
                  <w:r>
                    <w:rPr>
                      <w:color w:val="auto"/>
                    </w:rPr>
                    <w:t>2．依法依规妥善处置固体废物，规划产业应配套固废处置工程，确保规划产业的工业固体废弃物处置率可达到100%。</w:t>
                  </w:r>
                </w:p>
              </w:tc>
              <w:tc>
                <w:tcPr>
                  <w:tcW w:w="2042" w:type="dxa"/>
                  <w:tcBorders>
                    <w:tl2br w:val="nil"/>
                    <w:tr2bl w:val="nil"/>
                  </w:tcBorders>
                  <w:vAlign w:val="center"/>
                </w:tcPr>
                <w:p w14:paraId="63B73396">
                  <w:pPr>
                    <w:pStyle w:val="33"/>
                    <w:rPr>
                      <w:color w:val="auto"/>
                    </w:rPr>
                  </w:pPr>
                  <w:r>
                    <w:rPr>
                      <w:rFonts w:hint="eastAsia"/>
                      <w:color w:val="auto"/>
                    </w:rPr>
                    <w:t>本项目不涉及</w:t>
                  </w:r>
                </w:p>
              </w:tc>
              <w:tc>
                <w:tcPr>
                  <w:tcW w:w="687" w:type="dxa"/>
                  <w:tcBorders>
                    <w:tl2br w:val="nil"/>
                    <w:tr2bl w:val="nil"/>
                  </w:tcBorders>
                  <w:vAlign w:val="center"/>
                </w:tcPr>
                <w:p w14:paraId="0642DB43">
                  <w:pPr>
                    <w:pStyle w:val="33"/>
                    <w:rPr>
                      <w:color w:val="auto"/>
                    </w:rPr>
                  </w:pPr>
                  <w:r>
                    <w:rPr>
                      <w:rFonts w:hint="eastAsia"/>
                      <w:color w:val="auto"/>
                    </w:rPr>
                    <w:t>相符</w:t>
                  </w:r>
                </w:p>
              </w:tc>
            </w:tr>
          </w:tbl>
          <w:p w14:paraId="7B6519B8">
            <w:pPr>
              <w:ind w:firstLine="480"/>
              <w:rPr>
                <w:color w:val="auto"/>
              </w:rPr>
            </w:pPr>
            <w:r>
              <w:rPr>
                <w:rFonts w:hint="eastAsia"/>
                <w:color w:val="auto"/>
              </w:rPr>
              <w:t>综上，项目建设符合生态环境准入及管控要求。项目所在地不属于生态保护红线管控区域，项目的建设符合生态空间管控要求。</w:t>
            </w:r>
          </w:p>
          <w:p w14:paraId="70989C0E">
            <w:pPr>
              <w:ind w:firstLine="480"/>
              <w:rPr>
                <w:color w:val="auto"/>
              </w:rPr>
            </w:pPr>
            <w:r>
              <w:rPr>
                <w:rFonts w:hint="eastAsia"/>
                <w:color w:val="auto"/>
              </w:rPr>
              <w:t>（2）环境质量底线</w:t>
            </w:r>
          </w:p>
          <w:p w14:paraId="29A7BACD">
            <w:pPr>
              <w:ind w:firstLine="480"/>
              <w:rPr>
                <w:color w:val="auto"/>
              </w:rPr>
            </w:pPr>
            <w:r>
              <w:rPr>
                <w:color w:val="auto"/>
              </w:rPr>
              <w:t>根据柳州市生态环境局发布的《2025年柳州市生态环境状况公报》及柳江区环境空气自动监测数据，2025年柳江区环境空气中SO</w:t>
            </w:r>
            <w:r>
              <w:rPr>
                <w:rFonts w:hint="eastAsia"/>
                <w:color w:val="auto"/>
                <w:vertAlign w:val="subscript"/>
              </w:rPr>
              <w:t>2</w:t>
            </w:r>
            <w:r>
              <w:rPr>
                <w:color w:val="auto"/>
              </w:rPr>
              <w:t>、NO</w:t>
            </w:r>
            <w:r>
              <w:rPr>
                <w:rFonts w:hint="eastAsia"/>
                <w:color w:val="auto"/>
                <w:vertAlign w:val="subscript"/>
              </w:rPr>
              <w:t>2</w:t>
            </w:r>
            <w:r>
              <w:rPr>
                <w:color w:val="auto"/>
              </w:rPr>
              <w:t>、PM</w:t>
            </w:r>
            <w:r>
              <w:rPr>
                <w:rFonts w:hint="eastAsia"/>
                <w:color w:val="auto"/>
                <w:vertAlign w:val="subscript"/>
              </w:rPr>
              <w:t>10</w:t>
            </w:r>
            <w:r>
              <w:rPr>
                <w:color w:val="auto"/>
              </w:rPr>
              <w:t>、PM</w:t>
            </w:r>
            <w:r>
              <w:rPr>
                <w:rFonts w:hint="eastAsia"/>
                <w:color w:val="auto"/>
                <w:vertAlign w:val="subscript"/>
              </w:rPr>
              <w:t>2.5</w:t>
            </w:r>
            <w:r>
              <w:rPr>
                <w:color w:val="auto"/>
              </w:rPr>
              <w:t>年均浓度分别为8μg/m</w:t>
            </w:r>
            <w:r>
              <w:rPr>
                <w:rFonts w:hint="eastAsia"/>
                <w:color w:val="auto"/>
                <w:vertAlign w:val="superscript"/>
              </w:rPr>
              <w:t>3</w:t>
            </w:r>
            <w:r>
              <w:rPr>
                <w:color w:val="auto"/>
              </w:rPr>
              <w:t>、18μg/m</w:t>
            </w:r>
            <w:r>
              <w:rPr>
                <w:color w:val="auto"/>
                <w:vertAlign w:val="superscript"/>
              </w:rPr>
              <w:t>3</w:t>
            </w:r>
            <w:r>
              <w:rPr>
                <w:color w:val="auto"/>
              </w:rPr>
              <w:t>、48μg/m</w:t>
            </w:r>
            <w:r>
              <w:rPr>
                <w:color w:val="auto"/>
                <w:vertAlign w:val="superscript"/>
              </w:rPr>
              <w:t>3</w:t>
            </w:r>
            <w:r>
              <w:rPr>
                <w:color w:val="auto"/>
              </w:rPr>
              <w:t>、33μg/m</w:t>
            </w:r>
            <w:r>
              <w:rPr>
                <w:color w:val="auto"/>
                <w:vertAlign w:val="superscript"/>
              </w:rPr>
              <w:t>3</w:t>
            </w:r>
            <w:r>
              <w:rPr>
                <w:color w:val="auto"/>
              </w:rPr>
              <w:t>，CO日均第95百分位浓度为1.2mg/m</w:t>
            </w:r>
            <w:r>
              <w:rPr>
                <w:color w:val="auto"/>
                <w:vertAlign w:val="superscript"/>
              </w:rPr>
              <w:t>3</w:t>
            </w:r>
            <w:r>
              <w:rPr>
                <w:color w:val="auto"/>
              </w:rPr>
              <w:t>，O</w:t>
            </w:r>
            <w:r>
              <w:rPr>
                <w:color w:val="auto"/>
                <w:vertAlign w:val="subscript"/>
              </w:rPr>
              <w:t>3</w:t>
            </w:r>
            <w:r>
              <w:rPr>
                <w:color w:val="auto"/>
              </w:rPr>
              <w:t>日最大8小时第90百分位浓度为125μg/m</w:t>
            </w:r>
            <w:r>
              <w:rPr>
                <w:color w:val="auto"/>
                <w:vertAlign w:val="superscript"/>
              </w:rPr>
              <w:t>3</w:t>
            </w:r>
            <w:r>
              <w:rPr>
                <w:color w:val="auto"/>
              </w:rPr>
              <w:t>。按《环境空气质量标准》（GB3095-2012）及其2018年修改单二级标准评价，SO</w:t>
            </w:r>
            <w:r>
              <w:rPr>
                <w:color w:val="auto"/>
                <w:vertAlign w:val="subscript"/>
              </w:rPr>
              <w:t>2</w:t>
            </w:r>
            <w:r>
              <w:rPr>
                <w:color w:val="auto"/>
              </w:rPr>
              <w:t>、NO</w:t>
            </w:r>
            <w:r>
              <w:rPr>
                <w:color w:val="auto"/>
                <w:vertAlign w:val="subscript"/>
              </w:rPr>
              <w:t>2</w:t>
            </w:r>
            <w:r>
              <w:rPr>
                <w:color w:val="auto"/>
              </w:rPr>
              <w:t>、PM</w:t>
            </w:r>
            <w:r>
              <w:rPr>
                <w:color w:val="auto"/>
                <w:vertAlign w:val="subscript"/>
              </w:rPr>
              <w:t>10</w:t>
            </w:r>
            <w:r>
              <w:rPr>
                <w:color w:val="auto"/>
              </w:rPr>
              <w:t>、PM</w:t>
            </w:r>
            <w:r>
              <w:rPr>
                <w:color w:val="auto"/>
                <w:vertAlign w:val="subscript"/>
              </w:rPr>
              <w:t>2.5</w:t>
            </w:r>
            <w:r>
              <w:rPr>
                <w:color w:val="auto"/>
              </w:rPr>
              <w:t>、CO、O</w:t>
            </w:r>
            <w:r>
              <w:rPr>
                <w:color w:val="auto"/>
                <w:vertAlign w:val="subscript"/>
              </w:rPr>
              <w:t>3</w:t>
            </w:r>
            <w:r>
              <w:rPr>
                <w:color w:val="auto"/>
              </w:rPr>
              <w:t>均满足相应标准限值要求，项目所在区域按GB3095-2012评价为环境空气质量达标区。</w:t>
            </w:r>
          </w:p>
          <w:p w14:paraId="22B60BBD">
            <w:pPr>
              <w:ind w:firstLine="480"/>
              <w:rPr>
                <w:color w:val="auto"/>
              </w:rPr>
            </w:pPr>
            <w:r>
              <w:rPr>
                <w:color w:val="auto"/>
              </w:rPr>
              <w:t>同时，鉴于《环境空气质量标准》（GB3095-2026）已于2026年3月1日起实施，本次评价同步对照GB3095-2026过渡阶段二级浓度限值进行判定。对照结果表明，SO</w:t>
            </w:r>
            <w:r>
              <w:rPr>
                <w:color w:val="auto"/>
                <w:vertAlign w:val="subscript"/>
              </w:rPr>
              <w:t>2</w:t>
            </w:r>
            <w:r>
              <w:rPr>
                <w:color w:val="auto"/>
              </w:rPr>
              <w:t>、NO</w:t>
            </w:r>
            <w:r>
              <w:rPr>
                <w:color w:val="auto"/>
                <w:vertAlign w:val="subscript"/>
              </w:rPr>
              <w:t>2</w:t>
            </w:r>
            <w:r>
              <w:rPr>
                <w:color w:val="auto"/>
              </w:rPr>
              <w:t>、PM</w:t>
            </w:r>
            <w:r>
              <w:rPr>
                <w:color w:val="auto"/>
                <w:vertAlign w:val="subscript"/>
              </w:rPr>
              <w:t>10</w:t>
            </w:r>
            <w:r>
              <w:rPr>
                <w:color w:val="auto"/>
              </w:rPr>
              <w:t>、CO、O</w:t>
            </w:r>
            <w:r>
              <w:rPr>
                <w:color w:val="auto"/>
                <w:vertAlign w:val="subscript"/>
              </w:rPr>
              <w:t>3</w:t>
            </w:r>
            <w:r>
              <w:rPr>
                <w:color w:val="auto"/>
              </w:rPr>
              <w:t>均满足相应限值要求；PM</w:t>
            </w:r>
            <w:r>
              <w:rPr>
                <w:color w:val="auto"/>
                <w:vertAlign w:val="subscript"/>
              </w:rPr>
              <w:t>2.5</w:t>
            </w:r>
            <w:r>
              <w:rPr>
                <w:color w:val="auto"/>
              </w:rPr>
              <w:t>年均浓度为33μg/m</w:t>
            </w:r>
            <w:r>
              <w:rPr>
                <w:color w:val="auto"/>
                <w:vertAlign w:val="superscript"/>
              </w:rPr>
              <w:t>3</w:t>
            </w:r>
            <w:r>
              <w:rPr>
                <w:color w:val="auto"/>
              </w:rPr>
              <w:t>，超过GB3095-2026过渡阶段二级限值30μg/m</w:t>
            </w:r>
            <w:r>
              <w:rPr>
                <w:color w:val="auto"/>
                <w:vertAlign w:val="superscript"/>
              </w:rPr>
              <w:t>3</w:t>
            </w:r>
            <w:r>
              <w:rPr>
                <w:color w:val="auto"/>
              </w:rPr>
              <w:t>。因此，按GB3095-2026过渡阶段限值评价，项目所在区域环境空气质量判定为不达标区，超标因子为PM</w:t>
            </w:r>
            <w:r>
              <w:rPr>
                <w:color w:val="auto"/>
                <w:vertAlign w:val="subscript"/>
              </w:rPr>
              <w:t>2.5</w:t>
            </w:r>
            <w:r>
              <w:rPr>
                <w:color w:val="auto"/>
              </w:rPr>
              <w:t>。</w:t>
            </w:r>
          </w:p>
          <w:p w14:paraId="3CED0D27">
            <w:pPr>
              <w:ind w:firstLine="480"/>
              <w:rPr>
                <w:color w:val="auto"/>
              </w:rPr>
            </w:pPr>
            <w:r>
              <w:rPr>
                <w:rFonts w:hint="eastAsia"/>
                <w:color w:val="auto"/>
              </w:rPr>
              <w:t>项目所在区域声环境质量满足《声环境质量标准》（GB3096-2008）相应功能区标准要求；评价区域地表水体柳江水质各项指标满足《地表水环境质量标准》（GB3838-2002）</w:t>
            </w:r>
            <w:r>
              <w:rPr>
                <w:color w:val="auto"/>
              </w:rPr>
              <w:t>Ⅲ</w:t>
            </w:r>
            <w:r>
              <w:rPr>
                <w:rFonts w:hint="eastAsia"/>
                <w:color w:val="auto"/>
              </w:rPr>
              <w:t>类水质标准要求。项目运营期废气、废水、噪声和固体废物均采取相应污染防治措施，污染物可实现达标排放。项目废气污染物排放量较小，不会改变区域环境空气质量功能类别；生产废水</w:t>
            </w:r>
            <w:r>
              <w:rPr>
                <w:rFonts w:hint="eastAsia"/>
                <w:color w:val="auto"/>
                <w:lang w:eastAsia="zh-CN"/>
              </w:rPr>
              <w:t>经厂区自建污水处理设施“隔油沉淀+一体化A/O工艺”</w:t>
            </w:r>
            <w:r>
              <w:rPr>
                <w:rFonts w:hint="eastAsia"/>
                <w:color w:val="auto"/>
              </w:rPr>
              <w:t>处理后纳管进入柳江区新兴工业园污水处理厂进一步处理；各类固体废物分类收集、妥善处置。因此，项目建设不会突破区域环境质量底线。</w:t>
            </w:r>
          </w:p>
          <w:p w14:paraId="6D1E738C">
            <w:pPr>
              <w:ind w:firstLine="480"/>
              <w:rPr>
                <w:color w:val="auto"/>
              </w:rPr>
            </w:pPr>
            <w:r>
              <w:rPr>
                <w:rFonts w:hint="eastAsia"/>
                <w:color w:val="auto"/>
              </w:rPr>
              <w:t>（3）资源利用上线</w:t>
            </w:r>
          </w:p>
          <w:p w14:paraId="4443AEA8">
            <w:pPr>
              <w:ind w:firstLine="480"/>
              <w:rPr>
                <w:color w:val="auto"/>
              </w:rPr>
            </w:pPr>
            <w:r>
              <w:rPr>
                <w:rFonts w:hint="eastAsia"/>
                <w:color w:val="auto"/>
              </w:rPr>
              <w:t>本项目运营期用电由市政电网供给，用水由市政管网供给。年耗电量、耗水量较少，市政供给可满足项目需求，满足区域资源利用上线要求。</w:t>
            </w:r>
          </w:p>
          <w:p w14:paraId="739032FA">
            <w:pPr>
              <w:ind w:firstLine="480"/>
              <w:rPr>
                <w:color w:val="auto"/>
              </w:rPr>
            </w:pPr>
            <w:r>
              <w:rPr>
                <w:rFonts w:hint="eastAsia"/>
                <w:color w:val="auto"/>
              </w:rPr>
              <w:t>（4）负面清单</w:t>
            </w:r>
          </w:p>
          <w:p w14:paraId="5414DB0D">
            <w:pPr>
              <w:ind w:firstLine="480"/>
              <w:rPr>
                <w:rFonts w:hint="eastAsia"/>
                <w:color w:val="auto"/>
              </w:rPr>
            </w:pPr>
            <w:r>
              <w:rPr>
                <w:rFonts w:hint="eastAsia"/>
                <w:color w:val="auto"/>
              </w:rPr>
              <w:t>本项目主要从事复合调味料生产，国民经济行业类别为“C1469 其他调味品、发酵制品制造”。对照《市场准入负面清单（2025年版）》（发改体改规〔2025〕466号），本项目不涉及清单规定的禁止准入事项。本项目属于食品制造业，涉及清单第17项“未获得许可，不得从事特定食品生产经营和进出口”（事项编码203001）中食品生产许可的有关要求。建设单位应依法办理食品生产许可等相关手续，并在许可范围内开展生产经营活动；履行相应许可程序后，符合国家市场准入负面清单管理要求。</w:t>
            </w:r>
          </w:p>
          <w:p w14:paraId="2B279851">
            <w:pPr>
              <w:ind w:firstLine="480"/>
              <w:rPr>
                <w:rFonts w:hint="eastAsia"/>
                <w:color w:val="auto"/>
              </w:rPr>
            </w:pPr>
            <w:r>
              <w:rPr>
                <w:rFonts w:hint="eastAsia"/>
                <w:color w:val="auto"/>
              </w:rPr>
              <w:t>经对照新兴工业集中区禁止引入产业清单，本项目不属于植物油加工、屠宰及肉类加工、味精制造、酱油及食醋制造、盐加工、食品及饲料添加剂制造，以及化工、印染、造纸、冶炼等园区禁止引入行业，生产过程中亦不涉及园区禁止的生产工艺。</w:t>
            </w:r>
          </w:p>
          <w:p w14:paraId="34060902">
            <w:pPr>
              <w:ind w:firstLine="480"/>
              <w:rPr>
                <w:color w:val="auto"/>
              </w:rPr>
            </w:pPr>
            <w:r>
              <w:rPr>
                <w:rFonts w:hint="eastAsia"/>
                <w:color w:val="auto"/>
              </w:rPr>
              <w:t>本项目产品主要包括液态复合调味料、半固体复合调味料、固体调味料、复合调味油及食糖分装等，属于园区食品加工产业范畴，符合新兴工业集中区产业发展定位及生态环境准入要求。 综上，本项目不涉及《市场准入负面清单（2025年版）》规定的禁止准入事项，在依法取得食品生产许可等相关手续后，可按照规定进入；同时，本项目不属于新兴工业集中区禁止引入产业清单范围，符合柳州市生态环境分区管控及园区产业准入要求。</w:t>
            </w:r>
          </w:p>
          <w:p w14:paraId="669460C6">
            <w:pPr>
              <w:ind w:firstLine="482"/>
              <w:rPr>
                <w:b/>
                <w:bCs/>
                <w:color w:val="auto"/>
              </w:rPr>
            </w:pPr>
            <w:r>
              <w:rPr>
                <w:rFonts w:hint="eastAsia"/>
                <w:b/>
                <w:bCs/>
                <w:color w:val="auto"/>
              </w:rPr>
              <w:t>6、与《广西壮族自治区建设项目环境准入管理办法》（桂政办发〔2012〕103号）相符性分析</w:t>
            </w:r>
          </w:p>
          <w:p w14:paraId="65517DF8">
            <w:pPr>
              <w:ind w:firstLine="480"/>
              <w:rPr>
                <w:b/>
                <w:bCs/>
                <w:color w:val="auto"/>
              </w:rPr>
            </w:pPr>
            <w:r>
              <w:rPr>
                <w:color w:val="auto"/>
              </w:rPr>
              <w:t>根据广西壮族自治区环保厅《广西壮族自治区建设项目环境准入管理办法》（桂政办发〔2012〕103号），项目与桂政办发〔2012〕103号文件相符性分析如下表1-</w:t>
            </w:r>
            <w:r>
              <w:rPr>
                <w:rFonts w:hint="eastAsia"/>
                <w:color w:val="auto"/>
              </w:rPr>
              <w:t>7</w:t>
            </w:r>
            <w:r>
              <w:rPr>
                <w:color w:val="auto"/>
              </w:rPr>
              <w:t>。</w:t>
            </w:r>
          </w:p>
          <w:p w14:paraId="025A7E78">
            <w:pPr>
              <w:pStyle w:val="35"/>
              <w:rPr>
                <w:rFonts w:hint="default"/>
                <w:color w:val="auto"/>
              </w:rPr>
            </w:pPr>
            <w:r>
              <w:rPr>
                <w:color w:val="auto"/>
              </w:rPr>
              <w:t>表1-7 项目与相关文件符合性分析一览表</w:t>
            </w:r>
          </w:p>
          <w:tbl>
            <w:tblPr>
              <w:tblStyle w:val="17"/>
              <w:tblW w:w="675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236"/>
              <w:gridCol w:w="2595"/>
              <w:gridCol w:w="923"/>
            </w:tblGrid>
            <w:tr w14:paraId="7DD2BB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36" w:type="dxa"/>
                  <w:tcBorders>
                    <w:tl2br w:val="nil"/>
                    <w:tr2bl w:val="nil"/>
                  </w:tcBorders>
                  <w:vAlign w:val="center"/>
                </w:tcPr>
                <w:p w14:paraId="64B2803B">
                  <w:pPr>
                    <w:pStyle w:val="33"/>
                    <w:rPr>
                      <w:color w:val="auto"/>
                    </w:rPr>
                  </w:pPr>
                  <w:r>
                    <w:rPr>
                      <w:rFonts w:hint="eastAsia"/>
                      <w:color w:val="auto"/>
                    </w:rPr>
                    <w:t>桂政办发〔2012〕103号具体规定</w:t>
                  </w:r>
                </w:p>
              </w:tc>
              <w:tc>
                <w:tcPr>
                  <w:tcW w:w="2595" w:type="dxa"/>
                  <w:tcBorders>
                    <w:tl2br w:val="nil"/>
                    <w:tr2bl w:val="nil"/>
                  </w:tcBorders>
                  <w:vAlign w:val="center"/>
                </w:tcPr>
                <w:p w14:paraId="2EEE51F2">
                  <w:pPr>
                    <w:pStyle w:val="33"/>
                    <w:rPr>
                      <w:color w:val="auto"/>
                    </w:rPr>
                  </w:pPr>
                  <w:r>
                    <w:rPr>
                      <w:rFonts w:hint="eastAsia"/>
                      <w:color w:val="auto"/>
                    </w:rPr>
                    <w:t>项目情况</w:t>
                  </w:r>
                </w:p>
              </w:tc>
              <w:tc>
                <w:tcPr>
                  <w:tcW w:w="923" w:type="dxa"/>
                  <w:tcBorders>
                    <w:tl2br w:val="nil"/>
                    <w:tr2bl w:val="nil"/>
                  </w:tcBorders>
                  <w:vAlign w:val="center"/>
                </w:tcPr>
                <w:p w14:paraId="07CA7AB9">
                  <w:pPr>
                    <w:pStyle w:val="33"/>
                    <w:rPr>
                      <w:color w:val="auto"/>
                    </w:rPr>
                  </w:pPr>
                  <w:r>
                    <w:rPr>
                      <w:rFonts w:hint="eastAsia"/>
                      <w:color w:val="auto"/>
                    </w:rPr>
                    <w:t>符合性</w:t>
                  </w:r>
                </w:p>
              </w:tc>
            </w:tr>
            <w:tr w14:paraId="0ABCA1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36" w:type="dxa"/>
                  <w:tcBorders>
                    <w:tl2br w:val="nil"/>
                    <w:tr2bl w:val="nil"/>
                  </w:tcBorders>
                  <w:vAlign w:val="center"/>
                </w:tcPr>
                <w:p w14:paraId="186E76CF">
                  <w:pPr>
                    <w:pStyle w:val="33"/>
                    <w:jc w:val="both"/>
                    <w:rPr>
                      <w:color w:val="auto"/>
                    </w:rPr>
                  </w:pPr>
                  <w:r>
                    <w:rPr>
                      <w:color w:val="auto"/>
                    </w:rPr>
                    <w:t>建设项目要符合国家和自治区发展规划、产业政策和行业准入条件，不得新建属于限制类和淘汰类的涉重金属和高排放高耗能建设项目，不得采用国家淘汰或禁止使用的工艺和设备。</w:t>
                  </w:r>
                </w:p>
              </w:tc>
              <w:tc>
                <w:tcPr>
                  <w:tcW w:w="2595" w:type="dxa"/>
                  <w:tcBorders>
                    <w:tl2br w:val="nil"/>
                    <w:tr2bl w:val="nil"/>
                  </w:tcBorders>
                  <w:vAlign w:val="center"/>
                </w:tcPr>
                <w:p w14:paraId="60D0AE0D">
                  <w:pPr>
                    <w:pStyle w:val="33"/>
                    <w:rPr>
                      <w:color w:val="auto"/>
                    </w:rPr>
                  </w:pPr>
                  <w:r>
                    <w:rPr>
                      <w:color w:val="auto"/>
                    </w:rPr>
                    <w:t>项目符合国家和自治区发展规划、产业政策和行业准入条件，不属于限制类和淘汰类的涉重金属和高排放高耗能建设项目，不采用国家淘汰或禁止使用的工艺和设备。</w:t>
                  </w:r>
                </w:p>
              </w:tc>
              <w:tc>
                <w:tcPr>
                  <w:tcW w:w="923" w:type="dxa"/>
                  <w:tcBorders>
                    <w:tl2br w:val="nil"/>
                    <w:tr2bl w:val="nil"/>
                  </w:tcBorders>
                  <w:vAlign w:val="center"/>
                </w:tcPr>
                <w:p w14:paraId="40B2142C">
                  <w:pPr>
                    <w:pStyle w:val="33"/>
                    <w:rPr>
                      <w:color w:val="auto"/>
                    </w:rPr>
                  </w:pPr>
                  <w:r>
                    <w:rPr>
                      <w:rFonts w:hint="eastAsia"/>
                      <w:color w:val="auto"/>
                    </w:rPr>
                    <w:t>相符</w:t>
                  </w:r>
                </w:p>
              </w:tc>
            </w:tr>
            <w:tr w14:paraId="3FC98A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36" w:type="dxa"/>
                  <w:tcBorders>
                    <w:tl2br w:val="nil"/>
                    <w:tr2bl w:val="nil"/>
                  </w:tcBorders>
                  <w:vAlign w:val="center"/>
                </w:tcPr>
                <w:p w14:paraId="0190143F">
                  <w:pPr>
                    <w:pStyle w:val="33"/>
                    <w:jc w:val="both"/>
                    <w:rPr>
                      <w:color w:val="auto"/>
                    </w:rPr>
                  </w:pPr>
                  <w:r>
                    <w:rPr>
                      <w:color w:val="auto"/>
                    </w:rPr>
                    <w:t>鼓励建设单位采用国内外先进的工艺技术和设备，建设项目的生产水平应符合或等同满足相关清洁生产标准。</w:t>
                  </w:r>
                </w:p>
              </w:tc>
              <w:tc>
                <w:tcPr>
                  <w:tcW w:w="2595" w:type="dxa"/>
                  <w:tcBorders>
                    <w:tl2br w:val="nil"/>
                    <w:tr2bl w:val="nil"/>
                  </w:tcBorders>
                  <w:vAlign w:val="center"/>
                </w:tcPr>
                <w:p w14:paraId="0F656811">
                  <w:pPr>
                    <w:pStyle w:val="33"/>
                    <w:rPr>
                      <w:color w:val="auto"/>
                    </w:rPr>
                  </w:pPr>
                  <w:r>
                    <w:rPr>
                      <w:color w:val="auto"/>
                    </w:rPr>
                    <w:t>本项目采用成熟的生产工艺及设备，生产工艺和设备水平符合相关清洁生产要求。</w:t>
                  </w:r>
                </w:p>
              </w:tc>
              <w:tc>
                <w:tcPr>
                  <w:tcW w:w="923" w:type="dxa"/>
                  <w:tcBorders>
                    <w:tl2br w:val="nil"/>
                    <w:tr2bl w:val="nil"/>
                  </w:tcBorders>
                  <w:vAlign w:val="center"/>
                </w:tcPr>
                <w:p w14:paraId="405609FA">
                  <w:pPr>
                    <w:pStyle w:val="33"/>
                    <w:rPr>
                      <w:color w:val="auto"/>
                    </w:rPr>
                  </w:pPr>
                  <w:r>
                    <w:rPr>
                      <w:rFonts w:hint="eastAsia"/>
                      <w:color w:val="auto"/>
                    </w:rPr>
                    <w:t>相符</w:t>
                  </w:r>
                </w:p>
              </w:tc>
            </w:tr>
            <w:tr w14:paraId="349B14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36" w:type="dxa"/>
                  <w:tcBorders>
                    <w:tl2br w:val="nil"/>
                    <w:tr2bl w:val="nil"/>
                  </w:tcBorders>
                  <w:vAlign w:val="center"/>
                </w:tcPr>
                <w:p w14:paraId="31DFE8CB">
                  <w:pPr>
                    <w:pStyle w:val="33"/>
                    <w:jc w:val="both"/>
                    <w:rPr>
                      <w:color w:val="auto"/>
                    </w:rPr>
                  </w:pPr>
                  <w:r>
                    <w:rPr>
                      <w:color w:val="auto"/>
                    </w:rPr>
                    <w:t>建设项目选址应符合产业发展规划、城乡总体规划、土地利用规划、矿产资源开发利用规划及水功能区划等相关规划。</w:t>
                  </w:r>
                </w:p>
              </w:tc>
              <w:tc>
                <w:tcPr>
                  <w:tcW w:w="2595" w:type="dxa"/>
                  <w:tcBorders>
                    <w:tl2br w:val="nil"/>
                    <w:tr2bl w:val="nil"/>
                  </w:tcBorders>
                  <w:vAlign w:val="center"/>
                </w:tcPr>
                <w:p w14:paraId="75F27E4C">
                  <w:pPr>
                    <w:pStyle w:val="33"/>
                    <w:rPr>
                      <w:color w:val="auto"/>
                    </w:rPr>
                  </w:pPr>
                  <w:r>
                    <w:rPr>
                      <w:color w:val="auto"/>
                    </w:rPr>
                    <w:t>项目选址符合城乡总体规划、土地利用规划等相关规划</w:t>
                  </w:r>
                </w:p>
              </w:tc>
              <w:tc>
                <w:tcPr>
                  <w:tcW w:w="923" w:type="dxa"/>
                  <w:tcBorders>
                    <w:tl2br w:val="nil"/>
                    <w:tr2bl w:val="nil"/>
                  </w:tcBorders>
                  <w:vAlign w:val="center"/>
                </w:tcPr>
                <w:p w14:paraId="72E41F8B">
                  <w:pPr>
                    <w:pStyle w:val="33"/>
                    <w:rPr>
                      <w:color w:val="auto"/>
                    </w:rPr>
                  </w:pPr>
                  <w:r>
                    <w:rPr>
                      <w:rFonts w:hint="eastAsia"/>
                      <w:color w:val="auto"/>
                    </w:rPr>
                    <w:t>相符</w:t>
                  </w:r>
                </w:p>
              </w:tc>
            </w:tr>
          </w:tbl>
          <w:p w14:paraId="3C5F05FB">
            <w:pPr>
              <w:ind w:firstLine="480"/>
              <w:rPr>
                <w:color w:val="auto"/>
              </w:rPr>
            </w:pPr>
            <w:r>
              <w:rPr>
                <w:rFonts w:hint="eastAsia"/>
                <w:color w:val="auto"/>
              </w:rPr>
              <w:t>综上，项目与《广西壮族自治区建设项目环境准入管理办法》（桂政办发〔2012〕103号）相符。</w:t>
            </w:r>
          </w:p>
          <w:p w14:paraId="2475548A">
            <w:pPr>
              <w:ind w:firstLine="482"/>
              <w:rPr>
                <w:color w:val="auto"/>
              </w:rPr>
            </w:pPr>
            <w:r>
              <w:rPr>
                <w:b/>
                <w:bCs/>
                <w:color w:val="auto"/>
              </w:rPr>
              <w:t>7、与《柳州白莲机场航行服务程序净空保护区域管理相关要求》相符性分析</w:t>
            </w:r>
          </w:p>
          <w:p w14:paraId="4438EA41">
            <w:pPr>
              <w:ind w:firstLine="480"/>
              <w:rPr>
                <w:color w:val="auto"/>
              </w:rPr>
            </w:pPr>
            <w:r>
              <w:rPr>
                <w:color w:val="auto"/>
              </w:rPr>
              <w:t>根据《柳州白莲机场航行服务程序净空保护区域管理相关要求》，机场净空保护区域内建设项目的建筑物、构筑物及其他设施高度应满足机场净空保护要求，不得影响航空器运行安全。</w:t>
            </w:r>
          </w:p>
          <w:p w14:paraId="567F9B53">
            <w:pPr>
              <w:ind w:firstLine="480"/>
              <w:rPr>
                <w:color w:val="auto"/>
              </w:rPr>
            </w:pPr>
            <w:r>
              <w:rPr>
                <w:color w:val="auto"/>
              </w:rPr>
              <w:t>本项目位于</w:t>
            </w:r>
            <w:r>
              <w:rPr>
                <w:rFonts w:hint="eastAsia"/>
                <w:color w:val="auto"/>
              </w:rPr>
              <w:t>柳州市柳江区新兴工业园利业路30号1-1</w:t>
            </w:r>
            <w:r>
              <w:rPr>
                <w:color w:val="auto"/>
              </w:rPr>
              <w:t>，</w:t>
            </w:r>
            <w:r>
              <w:rPr>
                <w:rFonts w:hint="eastAsia"/>
                <w:color w:val="auto"/>
                <w:lang w:val="en-US" w:eastAsia="zh-CN"/>
              </w:rPr>
              <w:t>用</w:t>
            </w:r>
            <w:r>
              <w:rPr>
                <w:color w:val="auto"/>
              </w:rPr>
              <w:t>现有工业厂房进行</w:t>
            </w:r>
            <w:r>
              <w:rPr>
                <w:rFonts w:hint="eastAsia"/>
                <w:color w:val="auto"/>
                <w:lang w:val="en-US" w:eastAsia="zh-CN"/>
              </w:rPr>
              <w:t>调味品</w:t>
            </w:r>
            <w:r>
              <w:rPr>
                <w:color w:val="auto"/>
              </w:rPr>
              <w:t>生产，不涉及新建高层建筑。</w:t>
            </w:r>
            <w:r>
              <w:rPr>
                <w:rFonts w:hint="eastAsia"/>
                <w:color w:val="auto"/>
              </w:rPr>
              <w:t>根据</w:t>
            </w:r>
            <w:r>
              <w:rPr>
                <w:rFonts w:hint="eastAsia"/>
                <w:color w:val="auto"/>
                <w:lang w:val="en-US" w:eastAsia="zh-CN"/>
              </w:rPr>
              <w:t>附图4</w:t>
            </w:r>
            <w:r>
              <w:rPr>
                <w:rFonts w:hint="eastAsia"/>
                <w:color w:val="auto"/>
              </w:rPr>
              <w:t>《柳州白莲机场净空参考高度图》，项目所在地位于柳州白莲机场净空保护区第七区</w:t>
            </w:r>
            <w:r>
              <w:rPr>
                <w:rFonts w:hint="eastAsia"/>
                <w:color w:val="auto"/>
                <w:lang w:eastAsia="zh-CN"/>
              </w:rPr>
              <w:t>，该区域净空限制高度为</w:t>
            </w:r>
            <w:r>
              <w:rPr>
                <w:rFonts w:hint="eastAsia"/>
                <w:color w:val="auto"/>
                <w:lang w:val="en-US" w:eastAsia="zh-CN"/>
              </w:rPr>
              <w:t>142m，</w:t>
            </w:r>
            <w:r>
              <w:rPr>
                <w:rFonts w:hint="eastAsia"/>
                <w:color w:val="auto"/>
              </w:rPr>
              <w:t>项目排气筒高度为18m，项目所在地海拔高度为</w:t>
            </w:r>
            <w:r>
              <w:rPr>
                <w:rFonts w:hint="eastAsia"/>
                <w:color w:val="auto"/>
                <w:lang w:eastAsia="zh-CN"/>
              </w:rPr>
              <w:t>111.6m</w:t>
            </w:r>
            <w:r>
              <w:rPr>
                <w:rFonts w:hint="eastAsia"/>
                <w:color w:val="auto"/>
              </w:rPr>
              <w:t>，见附图10，即排气筒海拔高度为</w:t>
            </w:r>
            <w:r>
              <w:rPr>
                <w:rFonts w:hint="eastAsia"/>
                <w:color w:val="auto"/>
                <w:lang w:eastAsia="zh-CN"/>
              </w:rPr>
              <w:t>129.6m</w:t>
            </w:r>
            <w:r>
              <w:rPr>
                <w:rFonts w:hint="eastAsia"/>
                <w:color w:val="auto"/>
              </w:rPr>
              <w:t>，</w:t>
            </w:r>
            <w:r>
              <w:rPr>
                <w:color w:val="auto"/>
              </w:rPr>
              <w:t>低于柳州白莲机场航行服务程序净空保护区域限高要求（142m），不会对机场净空保护造成影响。</w:t>
            </w:r>
          </w:p>
          <w:p w14:paraId="7876A594">
            <w:pPr>
              <w:ind w:firstLine="480"/>
              <w:rPr>
                <w:b/>
                <w:bCs/>
                <w:color w:val="auto"/>
              </w:rPr>
            </w:pPr>
            <w:r>
              <w:rPr>
                <w:color w:val="auto"/>
              </w:rPr>
              <w:t>综上，本项目建设符合柳州白莲机场航行服务程序净空保护区域相关管理要求。</w:t>
            </w:r>
          </w:p>
        </w:tc>
      </w:tr>
    </w:tbl>
    <w:p w14:paraId="739DB015">
      <w:pPr>
        <w:ind w:firstLine="600"/>
        <w:outlineLvl w:val="0"/>
        <w:rPr>
          <w:rFonts w:eastAsia="黑体"/>
          <w:color w:val="auto"/>
          <w:sz w:val="30"/>
        </w:rPr>
        <w:sectPr>
          <w:footerReference r:id="rId7"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03790A72">
      <w:pPr>
        <w:pStyle w:val="13"/>
        <w:spacing w:beforeAutospacing="0" w:afterAutospacing="0"/>
        <w:outlineLvl w:val="0"/>
        <w:rPr>
          <w:rFonts w:hint="eastAsia" w:ascii="黑体" w:hAnsi="黑体" w:eastAsia="黑体"/>
          <w:snapToGrid w:val="0"/>
          <w:color w:val="auto"/>
          <w:sz w:val="30"/>
          <w:szCs w:val="30"/>
        </w:rPr>
      </w:pPr>
      <w:bookmarkStart w:id="3" w:name="_Toc1039"/>
      <w:r>
        <w:rPr>
          <w:rFonts w:hint="eastAsia" w:ascii="黑体" w:hAnsi="黑体" w:eastAsia="黑体"/>
          <w:snapToGrid w:val="0"/>
          <w:color w:val="auto"/>
          <w:sz w:val="30"/>
          <w:szCs w:val="30"/>
        </w:rPr>
        <w:t>二、建设项目工程分析</w:t>
      </w:r>
      <w:bookmarkEnd w:id="3"/>
    </w:p>
    <w:tbl>
      <w:tblPr>
        <w:tblStyle w:val="16"/>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5"/>
        <w:gridCol w:w="8345"/>
      </w:tblGrid>
      <w:tr w14:paraId="051CDA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5" w:type="dxa"/>
            <w:vAlign w:val="center"/>
          </w:tcPr>
          <w:p w14:paraId="559271C8">
            <w:pPr>
              <w:pStyle w:val="13"/>
              <w:adjustRightInd w:val="0"/>
              <w:snapToGrid w:val="0"/>
              <w:spacing w:beforeAutospacing="0" w:afterAutospacing="0"/>
              <w:rPr>
                <w:rFonts w:hint="eastAsia" w:cs="宋体"/>
                <w:color w:val="auto"/>
                <w:szCs w:val="24"/>
              </w:rPr>
            </w:pPr>
            <w:r>
              <w:rPr>
                <w:rFonts w:hint="eastAsia" w:cs="宋体"/>
                <w:color w:val="auto"/>
                <w:szCs w:val="24"/>
              </w:rPr>
              <w:t>建设内容</w:t>
            </w:r>
          </w:p>
        </w:tc>
        <w:tc>
          <w:tcPr>
            <w:tcW w:w="8345" w:type="dxa"/>
          </w:tcPr>
          <w:p w14:paraId="6E23F299">
            <w:pPr>
              <w:ind w:firstLine="482"/>
              <w:rPr>
                <w:color w:val="auto"/>
              </w:rPr>
            </w:pPr>
            <w:r>
              <w:rPr>
                <w:rFonts w:hint="eastAsia"/>
                <w:b/>
                <w:bCs/>
                <w:color w:val="auto"/>
              </w:rPr>
              <w:t>1、项目由来</w:t>
            </w:r>
          </w:p>
          <w:p w14:paraId="741EDBD4">
            <w:pPr>
              <w:ind w:firstLine="480"/>
              <w:rPr>
                <w:color w:val="auto"/>
              </w:rPr>
            </w:pPr>
            <w:r>
              <w:rPr>
                <w:rFonts w:hint="eastAsia"/>
                <w:color w:val="auto"/>
              </w:rPr>
              <w:t>广西佳厨调味食品有限公司位于柳州市柳江区新兴工业园利业路30号1-1，利用自有现有空置工业厂房内约3028m</w:t>
            </w:r>
            <w:r>
              <w:rPr>
                <w:rFonts w:hint="eastAsia"/>
                <w:color w:val="auto"/>
                <w:vertAlign w:val="superscript"/>
              </w:rPr>
              <w:t>2</w:t>
            </w:r>
            <w:r>
              <w:rPr>
                <w:rFonts w:hint="eastAsia"/>
                <w:color w:val="auto"/>
              </w:rPr>
              <w:t>区域建设本项目，形成年150吨复合调味料（含液体复合调味料、半固体复合调味酱、鸡精调味料、固体复合调味粉及香辛料粉、食糖分装等）的生产能力。本项目生产设施已建设完成并投入生产，因前期未依法办理环境影响评价审批手续，柳州市柳江区生态环境保护综合行政执法大队现场检查发现本项目存在未办理环评手续、环保设施未验收投入生产及未取得排污许可证排放污染物等问题，并下达《责令改正违法行为决定书》（柳江环责改字〔2026〕11号）</w:t>
            </w:r>
            <w:r>
              <w:rPr>
                <w:rFonts w:hint="eastAsia"/>
                <w:color w:val="auto"/>
                <w:lang w:eastAsia="zh-CN"/>
              </w:rPr>
              <w:t>，</w:t>
            </w:r>
            <w:r>
              <w:rPr>
                <w:rFonts w:hint="eastAsia"/>
                <w:color w:val="auto"/>
                <w:lang w:val="en-US" w:eastAsia="zh-CN"/>
              </w:rPr>
              <w:t>见附件14</w:t>
            </w:r>
            <w:r>
              <w:rPr>
                <w:rFonts w:hint="eastAsia"/>
                <w:color w:val="auto"/>
              </w:rPr>
              <w:t>。本次属于补办环评。建设单位现按照相关生态环境管理要求开展环境影响评价工作，并对现有污染防治措施进行进一步完善。</w:t>
            </w:r>
          </w:p>
          <w:p w14:paraId="5EE444C8">
            <w:pPr>
              <w:ind w:firstLine="480"/>
              <w:rPr>
                <w:color w:val="auto"/>
              </w:rPr>
            </w:pPr>
            <w:r>
              <w:rPr>
                <w:rFonts w:hint="eastAsia"/>
                <w:color w:val="auto"/>
              </w:rPr>
              <w:t>项目于2026年9月3日取得柳州市柳江区发展和改革局备案（项目代码为：2609-450206-04-01-392119）。</w:t>
            </w:r>
          </w:p>
          <w:p w14:paraId="762F94BB">
            <w:pPr>
              <w:ind w:firstLine="480"/>
              <w:rPr>
                <w:color w:val="auto"/>
              </w:rPr>
            </w:pPr>
            <w:r>
              <w:rPr>
                <w:rFonts w:hint="eastAsia"/>
                <w:color w:val="auto"/>
              </w:rPr>
              <w:t>根据《中华人民共和国生态环境法典》、《建设项目环境保护管理条例》（国务院令第682号）及《建设项目环境影响评价分类管理名录（2021年版）》（生态环境部令第16号）的有关规定，本项目主要采用原料验收、预处理、粉碎、调配混合、熟制、过滤、制粒干燥、冷却、灌装及包装等生产工艺，生产液态复合调味料、半固体复合调味料、鸡精调味料、固体复合调味粉及香辛料粉、复合调味油等产品，并进行食糖分装。根据《国民经济行业分类》（GB/T 4754—2017）及其修改单，项目国民经济行业类别为“C1469 其他调味品、发酵制品制造”，属于《建设项目环境影响评价分类管理名录（2021年版）》中“十一、食品制造业14”中第23项“调味品、发酵制品制造146”中的“其他（单纯混合、分装的除外）”，应编制环境影响报告表。</w:t>
            </w:r>
          </w:p>
          <w:p w14:paraId="1A69AF3D">
            <w:pPr>
              <w:ind w:firstLine="480"/>
              <w:rPr>
                <w:color w:val="auto"/>
              </w:rPr>
            </w:pPr>
            <w:r>
              <w:rPr>
                <w:rFonts w:hint="eastAsia"/>
                <w:color w:val="auto"/>
              </w:rPr>
              <w:t>受广西佳厨调味食品有限公司委托，我公司承担该项目环境影响评价工作。我公司接受委托后，在现场踏勘、资料收集等基础上，根据《建设项目环境影响报告表编制技术指南（污染影响类）（试行）》及相关法律法规、技术规范要求，编制完成该项目环境影响报告表，报请主管部门审查、审批，作为项目建设和环境管理的依据。</w:t>
            </w:r>
          </w:p>
          <w:p w14:paraId="637480D0">
            <w:pPr>
              <w:ind w:firstLine="482"/>
              <w:rPr>
                <w:b/>
                <w:bCs/>
                <w:color w:val="auto"/>
              </w:rPr>
            </w:pPr>
            <w:r>
              <w:rPr>
                <w:rFonts w:hint="eastAsia"/>
                <w:b/>
                <w:bCs/>
                <w:color w:val="auto"/>
              </w:rPr>
              <w:t>2、基本情况</w:t>
            </w:r>
          </w:p>
          <w:p w14:paraId="077E9A9C">
            <w:pPr>
              <w:ind w:firstLine="480"/>
              <w:rPr>
                <w:color w:val="auto"/>
              </w:rPr>
            </w:pPr>
            <w:r>
              <w:rPr>
                <w:rFonts w:hint="eastAsia"/>
                <w:color w:val="auto"/>
              </w:rPr>
              <w:t>项目名称：广西佳厨调味食品有限公司复合调味料项目；</w:t>
            </w:r>
          </w:p>
          <w:p w14:paraId="1EFE0D7E">
            <w:pPr>
              <w:ind w:firstLine="480"/>
              <w:rPr>
                <w:color w:val="auto"/>
              </w:rPr>
            </w:pPr>
            <w:r>
              <w:rPr>
                <w:rFonts w:hint="eastAsia"/>
                <w:color w:val="auto"/>
              </w:rPr>
              <w:t>建设单位：广西佳厨调味食品有限公司；</w:t>
            </w:r>
          </w:p>
          <w:p w14:paraId="135864CE">
            <w:pPr>
              <w:ind w:firstLine="480"/>
              <w:rPr>
                <w:color w:val="auto"/>
              </w:rPr>
            </w:pPr>
            <w:r>
              <w:rPr>
                <w:rFonts w:hint="eastAsia"/>
                <w:color w:val="auto"/>
              </w:rPr>
              <w:t>建设地点：柳州市柳江区新兴工业园利业路30号1-1；</w:t>
            </w:r>
          </w:p>
          <w:p w14:paraId="411FF7FF">
            <w:pPr>
              <w:ind w:firstLine="480"/>
              <w:rPr>
                <w:color w:val="auto"/>
              </w:rPr>
            </w:pPr>
            <w:r>
              <w:rPr>
                <w:rFonts w:hint="eastAsia"/>
                <w:color w:val="auto"/>
              </w:rPr>
              <w:t>建设性质：新建；</w:t>
            </w:r>
          </w:p>
          <w:p w14:paraId="0279BE38">
            <w:pPr>
              <w:ind w:firstLine="480"/>
              <w:rPr>
                <w:color w:val="auto"/>
              </w:rPr>
            </w:pPr>
            <w:r>
              <w:rPr>
                <w:rFonts w:hint="eastAsia"/>
                <w:color w:val="auto"/>
              </w:rPr>
              <w:t>项目投资：200万元；</w:t>
            </w:r>
          </w:p>
          <w:p w14:paraId="13830FE3">
            <w:pPr>
              <w:ind w:firstLine="480"/>
              <w:rPr>
                <w:color w:val="auto"/>
              </w:rPr>
            </w:pPr>
            <w:r>
              <w:rPr>
                <w:rFonts w:hint="eastAsia"/>
                <w:color w:val="auto"/>
              </w:rPr>
              <w:t>建设规模：年产150吨复合调味料。</w:t>
            </w:r>
          </w:p>
          <w:p w14:paraId="26052B05">
            <w:pPr>
              <w:ind w:firstLine="482"/>
              <w:rPr>
                <w:color w:val="auto"/>
              </w:rPr>
            </w:pPr>
            <w:r>
              <w:rPr>
                <w:rFonts w:hint="eastAsia"/>
                <w:b/>
                <w:bCs/>
                <w:color w:val="auto"/>
              </w:rPr>
              <w:t>3、工程建设内容</w:t>
            </w:r>
          </w:p>
          <w:p w14:paraId="2F502819">
            <w:pPr>
              <w:ind w:firstLine="480"/>
              <w:rPr>
                <w:color w:val="auto"/>
              </w:rPr>
            </w:pPr>
            <w:r>
              <w:rPr>
                <w:rFonts w:hint="eastAsia"/>
                <w:color w:val="auto"/>
              </w:rPr>
              <w:t>本项目广西佳厨调味食品有限公司位于柳州市柳江区新兴工业园利业路30号1-1，利用企业自有现有空置工业厂房内约3028 m</w:t>
            </w:r>
            <w:r>
              <w:rPr>
                <w:rFonts w:hint="eastAsia"/>
                <w:color w:val="auto"/>
                <w:vertAlign w:val="superscript"/>
              </w:rPr>
              <w:t>2</w:t>
            </w:r>
            <w:r>
              <w:rPr>
                <w:rFonts w:hint="eastAsia"/>
                <w:color w:val="auto"/>
              </w:rPr>
              <w:t>区域建设复合调味料项目。项目主要设置原料库、食品添加剂库、预处理间、拆包间、粉碎间、调配混合间、熟制间、冷却间、内包装间、外包装间、洗瓶间及成品库等生产、储存及辅助区域，车间平面布置见附图。</w:t>
            </w:r>
          </w:p>
          <w:p w14:paraId="311F1349">
            <w:pPr>
              <w:ind w:firstLine="480"/>
              <w:rPr>
                <w:color w:val="auto"/>
              </w:rPr>
            </w:pPr>
            <w:r>
              <w:rPr>
                <w:rFonts w:hint="eastAsia"/>
                <w:color w:val="auto"/>
              </w:rPr>
              <w:t>本工程建设内容主要由主体工程、辅助工程、公用工程、环保工程等组成，具体建设内容详见下表2-1。</w:t>
            </w:r>
          </w:p>
          <w:p w14:paraId="1033A6F2">
            <w:pPr>
              <w:pStyle w:val="35"/>
              <w:rPr>
                <w:rFonts w:hint="default"/>
                <w:color w:val="auto"/>
              </w:rPr>
            </w:pPr>
            <w:r>
              <w:rPr>
                <w:color w:val="auto"/>
              </w:rPr>
              <w:t>表2-1 工程建设内容一览表</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15"/>
              <w:gridCol w:w="1081"/>
              <w:gridCol w:w="5542"/>
              <w:gridCol w:w="688"/>
            </w:tblGrid>
            <w:tr w14:paraId="6C7B43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tcBorders>
                    <w:tl2br w:val="nil"/>
                    <w:tr2bl w:val="nil"/>
                  </w:tcBorders>
                  <w:vAlign w:val="center"/>
                </w:tcPr>
                <w:p w14:paraId="28985A12">
                  <w:pPr>
                    <w:pStyle w:val="33"/>
                    <w:rPr>
                      <w:color w:val="auto"/>
                    </w:rPr>
                  </w:pPr>
                  <w:r>
                    <w:rPr>
                      <w:rFonts w:hint="eastAsia"/>
                      <w:color w:val="auto"/>
                    </w:rPr>
                    <w:t>项目</w:t>
                  </w:r>
                </w:p>
              </w:tc>
              <w:tc>
                <w:tcPr>
                  <w:tcW w:w="665" w:type="pct"/>
                  <w:tcBorders>
                    <w:tl2br w:val="nil"/>
                    <w:tr2bl w:val="nil"/>
                  </w:tcBorders>
                  <w:vAlign w:val="center"/>
                </w:tcPr>
                <w:p w14:paraId="77C43B4E">
                  <w:pPr>
                    <w:pStyle w:val="33"/>
                    <w:rPr>
                      <w:color w:val="auto"/>
                    </w:rPr>
                  </w:pPr>
                  <w:r>
                    <w:rPr>
                      <w:rFonts w:hint="eastAsia"/>
                      <w:color w:val="auto"/>
                    </w:rPr>
                    <w:t>工程内容</w:t>
                  </w:r>
                </w:p>
              </w:tc>
              <w:tc>
                <w:tcPr>
                  <w:tcW w:w="3409" w:type="pct"/>
                  <w:tcBorders>
                    <w:tl2br w:val="nil"/>
                    <w:tr2bl w:val="nil"/>
                  </w:tcBorders>
                  <w:vAlign w:val="center"/>
                </w:tcPr>
                <w:p w14:paraId="3E240637">
                  <w:pPr>
                    <w:pStyle w:val="33"/>
                    <w:rPr>
                      <w:color w:val="auto"/>
                    </w:rPr>
                  </w:pPr>
                  <w:r>
                    <w:rPr>
                      <w:rFonts w:hint="eastAsia"/>
                      <w:color w:val="auto"/>
                    </w:rPr>
                    <w:t>主要建设内容</w:t>
                  </w:r>
                </w:p>
              </w:tc>
              <w:tc>
                <w:tcPr>
                  <w:tcW w:w="423" w:type="pct"/>
                  <w:tcBorders>
                    <w:tl2br w:val="nil"/>
                    <w:tr2bl w:val="nil"/>
                  </w:tcBorders>
                  <w:vAlign w:val="center"/>
                </w:tcPr>
                <w:p w14:paraId="070F2E98">
                  <w:pPr>
                    <w:pStyle w:val="33"/>
                    <w:rPr>
                      <w:color w:val="auto"/>
                    </w:rPr>
                  </w:pPr>
                  <w:r>
                    <w:rPr>
                      <w:rFonts w:hint="eastAsia"/>
                      <w:color w:val="auto"/>
                    </w:rPr>
                    <w:t>备注</w:t>
                  </w:r>
                </w:p>
              </w:tc>
            </w:tr>
            <w:tr w14:paraId="5B511A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restart"/>
                  <w:tcBorders>
                    <w:tl2br w:val="nil"/>
                    <w:tr2bl w:val="nil"/>
                  </w:tcBorders>
                  <w:vAlign w:val="center"/>
                </w:tcPr>
                <w:p w14:paraId="4FC82EA7">
                  <w:pPr>
                    <w:pStyle w:val="33"/>
                    <w:rPr>
                      <w:color w:val="auto"/>
                    </w:rPr>
                  </w:pPr>
                  <w:r>
                    <w:rPr>
                      <w:rFonts w:hint="eastAsia"/>
                      <w:color w:val="auto"/>
                    </w:rPr>
                    <w:t>主体工程</w:t>
                  </w:r>
                </w:p>
              </w:tc>
              <w:tc>
                <w:tcPr>
                  <w:tcW w:w="665" w:type="pct"/>
                  <w:tcBorders>
                    <w:tl2br w:val="nil"/>
                    <w:tr2bl w:val="nil"/>
                  </w:tcBorders>
                  <w:vAlign w:val="center"/>
                </w:tcPr>
                <w:p w14:paraId="4DB289EB">
                  <w:pPr>
                    <w:pStyle w:val="33"/>
                    <w:rPr>
                      <w:color w:val="auto"/>
                    </w:rPr>
                  </w:pPr>
                  <w:r>
                    <w:rPr>
                      <w:rFonts w:hint="eastAsia"/>
                      <w:color w:val="auto"/>
                    </w:rPr>
                    <w:t>预处理间</w:t>
                  </w:r>
                </w:p>
              </w:tc>
              <w:tc>
                <w:tcPr>
                  <w:tcW w:w="3409" w:type="pct"/>
                  <w:tcBorders>
                    <w:tl2br w:val="nil"/>
                    <w:tr2bl w:val="nil"/>
                  </w:tcBorders>
                  <w:vAlign w:val="center"/>
                </w:tcPr>
                <w:p w14:paraId="5561E0A0">
                  <w:pPr>
                    <w:pStyle w:val="33"/>
                    <w:rPr>
                      <w:color w:val="auto"/>
                    </w:rPr>
                  </w:pPr>
                  <w:r>
                    <w:rPr>
                      <w:color w:val="auto"/>
                    </w:rPr>
                    <w:t>占地面积约</w:t>
                  </w:r>
                  <w:r>
                    <w:rPr>
                      <w:rFonts w:hint="eastAsia"/>
                      <w:color w:val="auto"/>
                    </w:rPr>
                    <w:t>90</w:t>
                  </w:r>
                  <w:r>
                    <w:rPr>
                      <w:color w:val="auto"/>
                    </w:rPr>
                    <w:t>m</w:t>
                  </w:r>
                  <w:r>
                    <w:rPr>
                      <w:color w:val="auto"/>
                      <w:vertAlign w:val="superscript"/>
                    </w:rPr>
                    <w:t>2</w:t>
                  </w:r>
                  <w:r>
                    <w:rPr>
                      <w:color w:val="auto"/>
                    </w:rPr>
                    <w:t>，用于部分原料清洗、挑选、切配等预处理工序。</w:t>
                  </w:r>
                </w:p>
              </w:tc>
              <w:tc>
                <w:tcPr>
                  <w:tcW w:w="423" w:type="pct"/>
                  <w:tcBorders>
                    <w:tl2br w:val="nil"/>
                    <w:tr2bl w:val="nil"/>
                  </w:tcBorders>
                  <w:vAlign w:val="center"/>
                </w:tcPr>
                <w:p w14:paraId="26F33551">
                  <w:pPr>
                    <w:pStyle w:val="33"/>
                    <w:rPr>
                      <w:color w:val="auto"/>
                    </w:rPr>
                  </w:pPr>
                  <w:r>
                    <w:rPr>
                      <w:rFonts w:hint="eastAsia"/>
                      <w:color w:val="auto"/>
                    </w:rPr>
                    <w:t>已建</w:t>
                  </w:r>
                </w:p>
              </w:tc>
            </w:tr>
            <w:tr w14:paraId="0E944E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516226D7">
                  <w:pPr>
                    <w:pStyle w:val="33"/>
                    <w:rPr>
                      <w:color w:val="auto"/>
                    </w:rPr>
                  </w:pPr>
                </w:p>
              </w:tc>
              <w:tc>
                <w:tcPr>
                  <w:tcW w:w="665" w:type="pct"/>
                  <w:tcBorders>
                    <w:tl2br w:val="nil"/>
                    <w:tr2bl w:val="nil"/>
                  </w:tcBorders>
                  <w:vAlign w:val="center"/>
                </w:tcPr>
                <w:p w14:paraId="3D78DB13">
                  <w:pPr>
                    <w:pStyle w:val="33"/>
                    <w:rPr>
                      <w:color w:val="auto"/>
                    </w:rPr>
                  </w:pPr>
                  <w:r>
                    <w:rPr>
                      <w:rFonts w:hint="eastAsia"/>
                      <w:color w:val="auto"/>
                    </w:rPr>
                    <w:t>拆包间</w:t>
                  </w:r>
                </w:p>
              </w:tc>
              <w:tc>
                <w:tcPr>
                  <w:tcW w:w="3409" w:type="pct"/>
                  <w:tcBorders>
                    <w:tl2br w:val="nil"/>
                    <w:tr2bl w:val="nil"/>
                  </w:tcBorders>
                  <w:vAlign w:val="center"/>
                </w:tcPr>
                <w:p w14:paraId="607940FE">
                  <w:pPr>
                    <w:pStyle w:val="33"/>
                    <w:rPr>
                      <w:color w:val="auto"/>
                    </w:rPr>
                  </w:pPr>
                  <w:r>
                    <w:rPr>
                      <w:rFonts w:hint="eastAsia"/>
                      <w:color w:val="auto"/>
                    </w:rPr>
                    <w:t>占地面积约20m²，用于袋装原辅料拆包、称量等生产准备。</w:t>
                  </w:r>
                </w:p>
              </w:tc>
              <w:tc>
                <w:tcPr>
                  <w:tcW w:w="423" w:type="pct"/>
                  <w:tcBorders>
                    <w:tl2br w:val="nil"/>
                    <w:tr2bl w:val="nil"/>
                  </w:tcBorders>
                  <w:vAlign w:val="center"/>
                </w:tcPr>
                <w:p w14:paraId="26BF28FE">
                  <w:pPr>
                    <w:pStyle w:val="33"/>
                    <w:rPr>
                      <w:color w:val="auto"/>
                    </w:rPr>
                  </w:pPr>
                  <w:r>
                    <w:rPr>
                      <w:rFonts w:hint="eastAsia"/>
                      <w:color w:val="auto"/>
                    </w:rPr>
                    <w:t>已建</w:t>
                  </w:r>
                </w:p>
              </w:tc>
            </w:tr>
            <w:tr w14:paraId="0D8F72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6A86D248">
                  <w:pPr>
                    <w:pStyle w:val="33"/>
                    <w:rPr>
                      <w:color w:val="auto"/>
                    </w:rPr>
                  </w:pPr>
                </w:p>
              </w:tc>
              <w:tc>
                <w:tcPr>
                  <w:tcW w:w="665" w:type="pct"/>
                  <w:tcBorders>
                    <w:tl2br w:val="nil"/>
                    <w:tr2bl w:val="nil"/>
                  </w:tcBorders>
                  <w:vAlign w:val="center"/>
                </w:tcPr>
                <w:p w14:paraId="513E0320">
                  <w:pPr>
                    <w:pStyle w:val="33"/>
                    <w:rPr>
                      <w:color w:val="auto"/>
                    </w:rPr>
                  </w:pPr>
                  <w:r>
                    <w:rPr>
                      <w:rFonts w:hint="eastAsia"/>
                      <w:color w:val="auto"/>
                    </w:rPr>
                    <w:t>粉碎间</w:t>
                  </w:r>
                </w:p>
              </w:tc>
              <w:tc>
                <w:tcPr>
                  <w:tcW w:w="3409" w:type="pct"/>
                  <w:tcBorders>
                    <w:tl2br w:val="nil"/>
                    <w:tr2bl w:val="nil"/>
                  </w:tcBorders>
                  <w:vAlign w:val="center"/>
                </w:tcPr>
                <w:p w14:paraId="530ABCD6">
                  <w:pPr>
                    <w:pStyle w:val="33"/>
                    <w:rPr>
                      <w:color w:val="auto"/>
                    </w:rPr>
                  </w:pPr>
                  <w:r>
                    <w:rPr>
                      <w:rFonts w:hint="eastAsia"/>
                      <w:color w:val="auto"/>
                    </w:rPr>
                    <w:t>占地面积约210m</w:t>
                  </w:r>
                  <w:r>
                    <w:rPr>
                      <w:rFonts w:hint="eastAsia"/>
                      <w:color w:val="auto"/>
                      <w:vertAlign w:val="superscript"/>
                    </w:rPr>
                    <w:t>2</w:t>
                  </w:r>
                  <w:r>
                    <w:rPr>
                      <w:rFonts w:hint="eastAsia"/>
                      <w:color w:val="auto"/>
                    </w:rPr>
                    <w:t>，设置粉碎设备，用于辣椒、孜然及其他香辛料等原料粉碎。</w:t>
                  </w:r>
                </w:p>
              </w:tc>
              <w:tc>
                <w:tcPr>
                  <w:tcW w:w="423" w:type="pct"/>
                  <w:tcBorders>
                    <w:tl2br w:val="nil"/>
                    <w:tr2bl w:val="nil"/>
                  </w:tcBorders>
                  <w:vAlign w:val="center"/>
                </w:tcPr>
                <w:p w14:paraId="5DFB5241">
                  <w:pPr>
                    <w:pStyle w:val="33"/>
                    <w:rPr>
                      <w:color w:val="auto"/>
                    </w:rPr>
                  </w:pPr>
                  <w:r>
                    <w:rPr>
                      <w:rFonts w:hint="eastAsia"/>
                      <w:color w:val="auto"/>
                    </w:rPr>
                    <w:t>已建</w:t>
                  </w:r>
                </w:p>
              </w:tc>
            </w:tr>
            <w:tr w14:paraId="3BC8BC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533272F0">
                  <w:pPr>
                    <w:pStyle w:val="33"/>
                    <w:rPr>
                      <w:color w:val="auto"/>
                    </w:rPr>
                  </w:pPr>
                </w:p>
              </w:tc>
              <w:tc>
                <w:tcPr>
                  <w:tcW w:w="665" w:type="pct"/>
                  <w:tcBorders>
                    <w:tl2br w:val="nil"/>
                    <w:tr2bl w:val="nil"/>
                  </w:tcBorders>
                  <w:vAlign w:val="center"/>
                </w:tcPr>
                <w:p w14:paraId="517041B2">
                  <w:pPr>
                    <w:pStyle w:val="33"/>
                    <w:rPr>
                      <w:color w:val="auto"/>
                    </w:rPr>
                  </w:pPr>
                  <w:r>
                    <w:rPr>
                      <w:rFonts w:hint="eastAsia"/>
                      <w:color w:val="auto"/>
                    </w:rPr>
                    <w:t>调配、混合间</w:t>
                  </w:r>
                </w:p>
              </w:tc>
              <w:tc>
                <w:tcPr>
                  <w:tcW w:w="3409" w:type="pct"/>
                  <w:tcBorders>
                    <w:tl2br w:val="nil"/>
                    <w:tr2bl w:val="nil"/>
                  </w:tcBorders>
                  <w:vAlign w:val="center"/>
                </w:tcPr>
                <w:p w14:paraId="5A9521B4">
                  <w:pPr>
                    <w:pStyle w:val="33"/>
                    <w:rPr>
                      <w:color w:val="auto"/>
                    </w:rPr>
                  </w:pPr>
                  <w:r>
                    <w:rPr>
                      <w:color w:val="auto"/>
                    </w:rPr>
                    <w:t>占地面积约</w:t>
                  </w:r>
                  <w:r>
                    <w:rPr>
                      <w:rFonts w:hint="eastAsia"/>
                      <w:color w:val="auto"/>
                    </w:rPr>
                    <w:t>210</w:t>
                  </w:r>
                  <w:r>
                    <w:rPr>
                      <w:color w:val="auto"/>
                    </w:rPr>
                    <w:t>m</w:t>
                  </w:r>
                  <w:r>
                    <w:rPr>
                      <w:color w:val="auto"/>
                      <w:vertAlign w:val="superscript"/>
                    </w:rPr>
                    <w:t>2</w:t>
                  </w:r>
                  <w:r>
                    <w:rPr>
                      <w:color w:val="auto"/>
                    </w:rPr>
                    <w:t>，用于固体调味料等原辅料称量、投料、调配及混合。</w:t>
                  </w:r>
                </w:p>
              </w:tc>
              <w:tc>
                <w:tcPr>
                  <w:tcW w:w="423" w:type="pct"/>
                  <w:tcBorders>
                    <w:tl2br w:val="nil"/>
                    <w:tr2bl w:val="nil"/>
                  </w:tcBorders>
                  <w:vAlign w:val="center"/>
                </w:tcPr>
                <w:p w14:paraId="263AE0A4">
                  <w:pPr>
                    <w:pStyle w:val="33"/>
                    <w:rPr>
                      <w:color w:val="auto"/>
                    </w:rPr>
                  </w:pPr>
                  <w:r>
                    <w:rPr>
                      <w:rFonts w:hint="eastAsia"/>
                      <w:color w:val="auto"/>
                    </w:rPr>
                    <w:t>已建</w:t>
                  </w:r>
                </w:p>
              </w:tc>
            </w:tr>
            <w:tr w14:paraId="2E28AF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1EFF3041">
                  <w:pPr>
                    <w:pStyle w:val="33"/>
                    <w:rPr>
                      <w:color w:val="auto"/>
                    </w:rPr>
                  </w:pPr>
                </w:p>
              </w:tc>
              <w:tc>
                <w:tcPr>
                  <w:tcW w:w="665" w:type="pct"/>
                  <w:tcBorders>
                    <w:tl2br w:val="nil"/>
                    <w:tr2bl w:val="nil"/>
                  </w:tcBorders>
                  <w:vAlign w:val="center"/>
                </w:tcPr>
                <w:p w14:paraId="3EEB0129">
                  <w:pPr>
                    <w:pStyle w:val="33"/>
                    <w:rPr>
                      <w:color w:val="auto"/>
                    </w:rPr>
                  </w:pPr>
                  <w:r>
                    <w:rPr>
                      <w:rFonts w:hint="eastAsia"/>
                      <w:color w:val="auto"/>
                    </w:rPr>
                    <w:t>熟制间</w:t>
                  </w:r>
                </w:p>
              </w:tc>
              <w:tc>
                <w:tcPr>
                  <w:tcW w:w="3409" w:type="pct"/>
                  <w:tcBorders>
                    <w:tl2br w:val="nil"/>
                    <w:tr2bl w:val="nil"/>
                  </w:tcBorders>
                  <w:vAlign w:val="center"/>
                </w:tcPr>
                <w:p w14:paraId="589849AD">
                  <w:pPr>
                    <w:pStyle w:val="33"/>
                    <w:rPr>
                      <w:color w:val="auto"/>
                    </w:rPr>
                  </w:pPr>
                  <w:r>
                    <w:rPr>
                      <w:color w:val="auto"/>
                    </w:rPr>
                    <w:t>占地面积约</w:t>
                  </w:r>
                  <w:r>
                    <w:rPr>
                      <w:rFonts w:hint="eastAsia"/>
                      <w:color w:val="auto"/>
                    </w:rPr>
                    <w:t>320</w:t>
                  </w:r>
                  <w:r>
                    <w:rPr>
                      <w:color w:val="auto"/>
                    </w:rPr>
                    <w:t>m</w:t>
                  </w:r>
                  <w:r>
                    <w:rPr>
                      <w:color w:val="auto"/>
                      <w:vertAlign w:val="superscript"/>
                    </w:rPr>
                    <w:t>2</w:t>
                  </w:r>
                  <w:r>
                    <w:rPr>
                      <w:color w:val="auto"/>
                    </w:rPr>
                    <w:t>，用于液态复合调味料、半固体复合调味料及复合调味油等产品的调配、蒸煮、熟制、炒制等工序。</w:t>
                  </w:r>
                </w:p>
              </w:tc>
              <w:tc>
                <w:tcPr>
                  <w:tcW w:w="423" w:type="pct"/>
                  <w:tcBorders>
                    <w:tl2br w:val="nil"/>
                    <w:tr2bl w:val="nil"/>
                  </w:tcBorders>
                  <w:vAlign w:val="center"/>
                </w:tcPr>
                <w:p w14:paraId="654F4C22">
                  <w:pPr>
                    <w:pStyle w:val="33"/>
                    <w:rPr>
                      <w:color w:val="auto"/>
                    </w:rPr>
                  </w:pPr>
                  <w:r>
                    <w:rPr>
                      <w:rFonts w:hint="eastAsia"/>
                      <w:color w:val="auto"/>
                    </w:rPr>
                    <w:t>已建</w:t>
                  </w:r>
                </w:p>
              </w:tc>
            </w:tr>
            <w:tr w14:paraId="72FFCD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69EE6567">
                  <w:pPr>
                    <w:pStyle w:val="33"/>
                    <w:rPr>
                      <w:color w:val="auto"/>
                    </w:rPr>
                  </w:pPr>
                </w:p>
              </w:tc>
              <w:tc>
                <w:tcPr>
                  <w:tcW w:w="665" w:type="pct"/>
                  <w:tcBorders>
                    <w:tl2br w:val="nil"/>
                    <w:tr2bl w:val="nil"/>
                  </w:tcBorders>
                  <w:vAlign w:val="center"/>
                </w:tcPr>
                <w:p w14:paraId="79B51740">
                  <w:pPr>
                    <w:pStyle w:val="33"/>
                    <w:rPr>
                      <w:color w:val="auto"/>
                    </w:rPr>
                  </w:pPr>
                  <w:r>
                    <w:rPr>
                      <w:rFonts w:hint="eastAsia"/>
                      <w:color w:val="auto"/>
                    </w:rPr>
                    <w:t>冷却间</w:t>
                  </w:r>
                </w:p>
              </w:tc>
              <w:tc>
                <w:tcPr>
                  <w:tcW w:w="3409" w:type="pct"/>
                  <w:tcBorders>
                    <w:tl2br w:val="nil"/>
                    <w:tr2bl w:val="nil"/>
                  </w:tcBorders>
                  <w:vAlign w:val="center"/>
                </w:tcPr>
                <w:p w14:paraId="3349F59A">
                  <w:pPr>
                    <w:pStyle w:val="33"/>
                    <w:rPr>
                      <w:color w:val="auto"/>
                    </w:rPr>
                  </w:pPr>
                  <w:r>
                    <w:rPr>
                      <w:color w:val="auto"/>
                    </w:rPr>
                    <w:t>占地面积约90m</w:t>
                  </w:r>
                  <w:r>
                    <w:rPr>
                      <w:color w:val="auto"/>
                      <w:vertAlign w:val="superscript"/>
                    </w:rPr>
                    <w:t>2</w:t>
                  </w:r>
                  <w:r>
                    <w:rPr>
                      <w:color w:val="auto"/>
                    </w:rPr>
                    <w:t>，用于熟制、炒制后物料冷却。</w:t>
                  </w:r>
                </w:p>
              </w:tc>
              <w:tc>
                <w:tcPr>
                  <w:tcW w:w="423" w:type="pct"/>
                  <w:tcBorders>
                    <w:tl2br w:val="nil"/>
                    <w:tr2bl w:val="nil"/>
                  </w:tcBorders>
                  <w:vAlign w:val="center"/>
                </w:tcPr>
                <w:p w14:paraId="375FD875">
                  <w:pPr>
                    <w:pStyle w:val="33"/>
                    <w:rPr>
                      <w:color w:val="auto"/>
                    </w:rPr>
                  </w:pPr>
                  <w:r>
                    <w:rPr>
                      <w:rFonts w:hint="eastAsia"/>
                      <w:color w:val="auto"/>
                    </w:rPr>
                    <w:t>已建</w:t>
                  </w:r>
                </w:p>
              </w:tc>
            </w:tr>
            <w:tr w14:paraId="7DC64C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5A712A45">
                  <w:pPr>
                    <w:pStyle w:val="33"/>
                    <w:rPr>
                      <w:color w:val="auto"/>
                    </w:rPr>
                  </w:pPr>
                </w:p>
              </w:tc>
              <w:tc>
                <w:tcPr>
                  <w:tcW w:w="665" w:type="pct"/>
                  <w:tcBorders>
                    <w:tl2br w:val="nil"/>
                    <w:tr2bl w:val="nil"/>
                  </w:tcBorders>
                  <w:vAlign w:val="center"/>
                </w:tcPr>
                <w:p w14:paraId="426F912D">
                  <w:pPr>
                    <w:pStyle w:val="33"/>
                    <w:rPr>
                      <w:color w:val="auto"/>
                    </w:rPr>
                  </w:pPr>
                  <w:r>
                    <w:rPr>
                      <w:rFonts w:hint="eastAsia"/>
                      <w:color w:val="auto"/>
                    </w:rPr>
                    <w:t>内包装间</w:t>
                  </w:r>
                </w:p>
              </w:tc>
              <w:tc>
                <w:tcPr>
                  <w:tcW w:w="3409" w:type="pct"/>
                  <w:tcBorders>
                    <w:tl2br w:val="nil"/>
                    <w:tr2bl w:val="nil"/>
                  </w:tcBorders>
                  <w:vAlign w:val="center"/>
                </w:tcPr>
                <w:p w14:paraId="4D214BB4">
                  <w:pPr>
                    <w:pStyle w:val="33"/>
                    <w:rPr>
                      <w:color w:val="auto"/>
                    </w:rPr>
                  </w:pPr>
                  <w:r>
                    <w:rPr>
                      <w:color w:val="auto"/>
                    </w:rPr>
                    <w:t>占地面积约</w:t>
                  </w:r>
                  <w:r>
                    <w:rPr>
                      <w:rFonts w:hint="eastAsia"/>
                      <w:color w:val="auto"/>
                    </w:rPr>
                    <w:t>640</w:t>
                  </w:r>
                  <w:r>
                    <w:rPr>
                      <w:color w:val="auto"/>
                    </w:rPr>
                    <w:t>m</w:t>
                  </w:r>
                  <w:r>
                    <w:rPr>
                      <w:color w:val="auto"/>
                      <w:vertAlign w:val="superscript"/>
                    </w:rPr>
                    <w:t>2</w:t>
                  </w:r>
                  <w:r>
                    <w:rPr>
                      <w:color w:val="auto"/>
                    </w:rPr>
                    <w:t>，</w:t>
                  </w:r>
                  <w:r>
                    <w:rPr>
                      <w:rFonts w:hint="eastAsia"/>
                      <w:color w:val="auto"/>
                    </w:rPr>
                    <w:t>分为内包装间（固体调味料）和内包装间（汤、酱、醋、油），内包装间（固体调味料）约410m</w:t>
                  </w:r>
                  <w:r>
                    <w:rPr>
                      <w:rFonts w:hint="eastAsia"/>
                      <w:color w:val="auto"/>
                      <w:vertAlign w:val="superscript"/>
                    </w:rPr>
                    <w:t>2</w:t>
                  </w:r>
                  <w:r>
                    <w:rPr>
                      <w:rFonts w:hint="eastAsia"/>
                      <w:color w:val="auto"/>
                    </w:rPr>
                    <w:t>，</w:t>
                  </w:r>
                  <w:r>
                    <w:rPr>
                      <w:color w:val="auto"/>
                    </w:rPr>
                    <w:t>用于鸡精调味料、香辛料粉、复合调味粉及食糖等产品的计量、包装、封口及喷码等工序</w:t>
                  </w:r>
                  <w:r>
                    <w:rPr>
                      <w:rFonts w:hint="eastAsia"/>
                      <w:color w:val="auto"/>
                    </w:rPr>
                    <w:t>；内包装间（汤、酱、醋、油）约230m</w:t>
                  </w:r>
                  <w:r>
                    <w:rPr>
                      <w:rFonts w:hint="eastAsia"/>
                      <w:color w:val="auto"/>
                      <w:vertAlign w:val="superscript"/>
                    </w:rPr>
                    <w:t>2</w:t>
                  </w:r>
                  <w:r>
                    <w:rPr>
                      <w:rFonts w:hint="eastAsia"/>
                      <w:color w:val="auto"/>
                    </w:rPr>
                    <w:t>，用于液态复合调味料、半固体复合调味料及复合调味油等产品的灌装、封盖、贴标、边封及热收缩包装等工序。</w:t>
                  </w:r>
                </w:p>
              </w:tc>
              <w:tc>
                <w:tcPr>
                  <w:tcW w:w="423" w:type="pct"/>
                  <w:tcBorders>
                    <w:tl2br w:val="nil"/>
                    <w:tr2bl w:val="nil"/>
                  </w:tcBorders>
                  <w:vAlign w:val="center"/>
                </w:tcPr>
                <w:p w14:paraId="116228DC">
                  <w:pPr>
                    <w:pStyle w:val="33"/>
                    <w:rPr>
                      <w:color w:val="auto"/>
                    </w:rPr>
                  </w:pPr>
                  <w:r>
                    <w:rPr>
                      <w:rFonts w:hint="eastAsia"/>
                      <w:color w:val="auto"/>
                    </w:rPr>
                    <w:t>已建</w:t>
                  </w:r>
                </w:p>
              </w:tc>
            </w:tr>
            <w:tr w14:paraId="3FAA7E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3B60572E">
                  <w:pPr>
                    <w:pStyle w:val="33"/>
                    <w:rPr>
                      <w:color w:val="auto"/>
                    </w:rPr>
                  </w:pPr>
                </w:p>
              </w:tc>
              <w:tc>
                <w:tcPr>
                  <w:tcW w:w="665" w:type="pct"/>
                  <w:tcBorders>
                    <w:tl2br w:val="nil"/>
                    <w:tr2bl w:val="nil"/>
                  </w:tcBorders>
                  <w:vAlign w:val="center"/>
                </w:tcPr>
                <w:p w14:paraId="79FD4C0F">
                  <w:pPr>
                    <w:pStyle w:val="33"/>
                    <w:rPr>
                      <w:color w:val="auto"/>
                    </w:rPr>
                  </w:pPr>
                  <w:r>
                    <w:rPr>
                      <w:rFonts w:hint="eastAsia"/>
                      <w:color w:val="auto"/>
                    </w:rPr>
                    <w:t>外包装间</w:t>
                  </w:r>
                </w:p>
              </w:tc>
              <w:tc>
                <w:tcPr>
                  <w:tcW w:w="3409" w:type="pct"/>
                  <w:tcBorders>
                    <w:tl2br w:val="nil"/>
                    <w:tr2bl w:val="nil"/>
                  </w:tcBorders>
                  <w:vAlign w:val="center"/>
                </w:tcPr>
                <w:p w14:paraId="055BDF2D">
                  <w:pPr>
                    <w:pStyle w:val="33"/>
                    <w:rPr>
                      <w:color w:val="auto"/>
                    </w:rPr>
                  </w:pPr>
                  <w:r>
                    <w:rPr>
                      <w:color w:val="auto"/>
                    </w:rPr>
                    <w:t>占地面积约</w:t>
                  </w:r>
                  <w:r>
                    <w:rPr>
                      <w:rFonts w:hint="eastAsia"/>
                      <w:color w:val="auto"/>
                    </w:rPr>
                    <w:t>40</w:t>
                  </w:r>
                  <w:r>
                    <w:rPr>
                      <w:color w:val="auto"/>
                    </w:rPr>
                    <w:t>m</w:t>
                  </w:r>
                  <w:r>
                    <w:rPr>
                      <w:color w:val="auto"/>
                      <w:vertAlign w:val="superscript"/>
                    </w:rPr>
                    <w:t>2</w:t>
                  </w:r>
                  <w:r>
                    <w:rPr>
                      <w:color w:val="auto"/>
                    </w:rPr>
                    <w:t>，用于完成内包装后的产品装箱及成品周转。</w:t>
                  </w:r>
                </w:p>
              </w:tc>
              <w:tc>
                <w:tcPr>
                  <w:tcW w:w="423" w:type="pct"/>
                  <w:tcBorders>
                    <w:tl2br w:val="nil"/>
                    <w:tr2bl w:val="nil"/>
                  </w:tcBorders>
                  <w:vAlign w:val="center"/>
                </w:tcPr>
                <w:p w14:paraId="308D816A">
                  <w:pPr>
                    <w:pStyle w:val="33"/>
                    <w:rPr>
                      <w:color w:val="auto"/>
                    </w:rPr>
                  </w:pPr>
                  <w:r>
                    <w:rPr>
                      <w:rFonts w:hint="eastAsia"/>
                      <w:color w:val="auto"/>
                    </w:rPr>
                    <w:t>已建</w:t>
                  </w:r>
                </w:p>
              </w:tc>
            </w:tr>
            <w:tr w14:paraId="31F691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28218630">
                  <w:pPr>
                    <w:pStyle w:val="33"/>
                    <w:rPr>
                      <w:color w:val="auto"/>
                    </w:rPr>
                  </w:pPr>
                </w:p>
              </w:tc>
              <w:tc>
                <w:tcPr>
                  <w:tcW w:w="665" w:type="pct"/>
                  <w:tcBorders>
                    <w:tl2br w:val="nil"/>
                    <w:tr2bl w:val="nil"/>
                  </w:tcBorders>
                  <w:shd w:val="clear" w:color="auto" w:fill="auto"/>
                  <w:vAlign w:val="center"/>
                </w:tcPr>
                <w:p w14:paraId="211A03B9">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rPr>
                    <w:t>洗瓶间、瓶存放间</w:t>
                  </w:r>
                </w:p>
              </w:tc>
              <w:tc>
                <w:tcPr>
                  <w:tcW w:w="3409" w:type="pct"/>
                  <w:tcBorders>
                    <w:tl2br w:val="nil"/>
                    <w:tr2bl w:val="nil"/>
                  </w:tcBorders>
                  <w:shd w:val="clear" w:color="auto" w:fill="auto"/>
                  <w:vAlign w:val="center"/>
                </w:tcPr>
                <w:p w14:paraId="0B7B6164">
                  <w:pPr>
                    <w:pStyle w:val="33"/>
                    <w:ind w:firstLine="0" w:firstLineChars="0"/>
                    <w:rPr>
                      <w:rFonts w:ascii="Times New Roman" w:hAnsi="Times New Roman" w:eastAsia="宋体" w:cs="Times New Roman"/>
                      <w:color w:val="auto"/>
                      <w:kern w:val="0"/>
                      <w:sz w:val="21"/>
                      <w:szCs w:val="21"/>
                      <w:lang w:val="en-US" w:eastAsia="zh-CN" w:bidi="ar-SA"/>
                    </w:rPr>
                  </w:pPr>
                  <w:r>
                    <w:rPr>
                      <w:rFonts w:hint="eastAsia"/>
                      <w:color w:val="auto"/>
                      <w:lang w:val="en-US" w:eastAsia="zh-CN"/>
                    </w:rPr>
                    <w:t>占地面积约35m</w:t>
                  </w:r>
                  <w:r>
                    <w:rPr>
                      <w:rFonts w:hint="eastAsia"/>
                      <w:color w:val="auto"/>
                      <w:vertAlign w:val="superscript"/>
                      <w:lang w:val="en-US" w:eastAsia="zh-CN"/>
                    </w:rPr>
                    <w:t>2</w:t>
                  </w:r>
                  <w:r>
                    <w:rPr>
                      <w:rFonts w:hint="eastAsia"/>
                      <w:color w:val="auto"/>
                      <w:lang w:val="en-US" w:eastAsia="zh-CN"/>
                    </w:rPr>
                    <w:t>，</w:t>
                  </w:r>
                  <w:r>
                    <w:rPr>
                      <w:color w:val="auto"/>
                    </w:rPr>
                    <w:t>用于包装瓶清洗及洁净瓶暂存。</w:t>
                  </w:r>
                </w:p>
              </w:tc>
              <w:tc>
                <w:tcPr>
                  <w:tcW w:w="423" w:type="pct"/>
                  <w:tcBorders>
                    <w:tl2br w:val="nil"/>
                    <w:tr2bl w:val="nil"/>
                  </w:tcBorders>
                  <w:shd w:val="clear" w:color="auto" w:fill="auto"/>
                  <w:vAlign w:val="center"/>
                </w:tcPr>
                <w:p w14:paraId="38BA38B7">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rPr>
                    <w:t>已建</w:t>
                  </w:r>
                </w:p>
              </w:tc>
            </w:tr>
            <w:tr w14:paraId="73CBFA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restart"/>
                  <w:tcBorders>
                    <w:tl2br w:val="nil"/>
                    <w:tr2bl w:val="nil"/>
                  </w:tcBorders>
                  <w:vAlign w:val="center"/>
                </w:tcPr>
                <w:p w14:paraId="0AC78B2D">
                  <w:pPr>
                    <w:pStyle w:val="33"/>
                    <w:rPr>
                      <w:color w:val="auto"/>
                    </w:rPr>
                  </w:pPr>
                  <w:r>
                    <w:rPr>
                      <w:rFonts w:hint="eastAsia"/>
                      <w:color w:val="auto"/>
                    </w:rPr>
                    <w:t>储运工程</w:t>
                  </w:r>
                </w:p>
              </w:tc>
              <w:tc>
                <w:tcPr>
                  <w:tcW w:w="665" w:type="pct"/>
                  <w:tcBorders>
                    <w:tl2br w:val="nil"/>
                    <w:tr2bl w:val="nil"/>
                  </w:tcBorders>
                  <w:vAlign w:val="center"/>
                </w:tcPr>
                <w:p w14:paraId="2432FDCA">
                  <w:pPr>
                    <w:pStyle w:val="33"/>
                    <w:rPr>
                      <w:color w:val="auto"/>
                    </w:rPr>
                  </w:pPr>
                  <w:r>
                    <w:rPr>
                      <w:rFonts w:hint="eastAsia"/>
                      <w:color w:val="auto"/>
                    </w:rPr>
                    <w:t>原料库</w:t>
                  </w:r>
                </w:p>
              </w:tc>
              <w:tc>
                <w:tcPr>
                  <w:tcW w:w="3409" w:type="pct"/>
                  <w:tcBorders>
                    <w:tl2br w:val="nil"/>
                    <w:tr2bl w:val="nil"/>
                  </w:tcBorders>
                  <w:vAlign w:val="center"/>
                </w:tcPr>
                <w:p w14:paraId="533EE9F3">
                  <w:pPr>
                    <w:pStyle w:val="33"/>
                    <w:rPr>
                      <w:color w:val="auto"/>
                    </w:rPr>
                  </w:pPr>
                  <w:r>
                    <w:rPr>
                      <w:color w:val="auto"/>
                    </w:rPr>
                    <w:t>占地面积约</w:t>
                  </w:r>
                  <w:r>
                    <w:rPr>
                      <w:rFonts w:hint="eastAsia"/>
                      <w:color w:val="auto"/>
                    </w:rPr>
                    <w:t>515</w:t>
                  </w:r>
                  <w:r>
                    <w:rPr>
                      <w:color w:val="auto"/>
                    </w:rPr>
                    <w:t>m</w:t>
                  </w:r>
                  <w:r>
                    <w:rPr>
                      <w:color w:val="auto"/>
                      <w:vertAlign w:val="superscript"/>
                    </w:rPr>
                    <w:t>2</w:t>
                  </w:r>
                  <w:r>
                    <w:rPr>
                      <w:color w:val="auto"/>
                    </w:rPr>
                    <w:t>，用于食盐、白砂糖、香辛料</w:t>
                  </w:r>
                  <w:r>
                    <w:rPr>
                      <w:rFonts w:hint="eastAsia"/>
                      <w:color w:val="auto"/>
                    </w:rPr>
                    <w:t>等</w:t>
                  </w:r>
                  <w:r>
                    <w:rPr>
                      <w:color w:val="auto"/>
                    </w:rPr>
                    <w:t>其他原辅材料分类储存。</w:t>
                  </w:r>
                </w:p>
              </w:tc>
              <w:tc>
                <w:tcPr>
                  <w:tcW w:w="423" w:type="pct"/>
                  <w:tcBorders>
                    <w:tl2br w:val="nil"/>
                    <w:tr2bl w:val="nil"/>
                  </w:tcBorders>
                  <w:vAlign w:val="center"/>
                </w:tcPr>
                <w:p w14:paraId="2FA1F8A1">
                  <w:pPr>
                    <w:pStyle w:val="33"/>
                    <w:rPr>
                      <w:color w:val="auto"/>
                    </w:rPr>
                  </w:pPr>
                  <w:r>
                    <w:rPr>
                      <w:rFonts w:hint="eastAsia"/>
                      <w:color w:val="auto"/>
                    </w:rPr>
                    <w:t>已建</w:t>
                  </w:r>
                </w:p>
              </w:tc>
            </w:tr>
            <w:tr w14:paraId="58B1D5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73615ACB">
                  <w:pPr>
                    <w:pStyle w:val="33"/>
                    <w:rPr>
                      <w:color w:val="auto"/>
                    </w:rPr>
                  </w:pPr>
                </w:p>
              </w:tc>
              <w:tc>
                <w:tcPr>
                  <w:tcW w:w="665" w:type="pct"/>
                  <w:tcBorders>
                    <w:tl2br w:val="nil"/>
                    <w:tr2bl w:val="nil"/>
                  </w:tcBorders>
                  <w:vAlign w:val="center"/>
                </w:tcPr>
                <w:p w14:paraId="78E51328">
                  <w:pPr>
                    <w:pStyle w:val="33"/>
                    <w:rPr>
                      <w:color w:val="auto"/>
                    </w:rPr>
                  </w:pPr>
                  <w:r>
                    <w:rPr>
                      <w:rFonts w:hint="eastAsia"/>
                      <w:color w:val="auto"/>
                    </w:rPr>
                    <w:t>食品添加剂库</w:t>
                  </w:r>
                </w:p>
              </w:tc>
              <w:tc>
                <w:tcPr>
                  <w:tcW w:w="3409" w:type="pct"/>
                  <w:tcBorders>
                    <w:tl2br w:val="nil"/>
                    <w:tr2bl w:val="nil"/>
                  </w:tcBorders>
                  <w:vAlign w:val="center"/>
                </w:tcPr>
                <w:p w14:paraId="071CD7A7">
                  <w:pPr>
                    <w:pStyle w:val="33"/>
                    <w:rPr>
                      <w:color w:val="auto"/>
                    </w:rPr>
                  </w:pPr>
                  <w:r>
                    <w:rPr>
                      <w:color w:val="auto"/>
                    </w:rPr>
                    <w:t>占地面积约</w:t>
                  </w:r>
                  <w:r>
                    <w:rPr>
                      <w:rFonts w:hint="eastAsia"/>
                      <w:color w:val="auto"/>
                    </w:rPr>
                    <w:t>65</w:t>
                  </w:r>
                  <w:r>
                    <w:rPr>
                      <w:color w:val="auto"/>
                    </w:rPr>
                    <w:t>m</w:t>
                  </w:r>
                  <w:r>
                    <w:rPr>
                      <w:color w:val="auto"/>
                      <w:vertAlign w:val="superscript"/>
                    </w:rPr>
                    <w:t>2</w:t>
                  </w:r>
                  <w:r>
                    <w:rPr>
                      <w:color w:val="auto"/>
                    </w:rPr>
                    <w:t>，用于食品添加剂分类储存。</w:t>
                  </w:r>
                </w:p>
              </w:tc>
              <w:tc>
                <w:tcPr>
                  <w:tcW w:w="423" w:type="pct"/>
                  <w:tcBorders>
                    <w:tl2br w:val="nil"/>
                    <w:tr2bl w:val="nil"/>
                  </w:tcBorders>
                  <w:vAlign w:val="center"/>
                </w:tcPr>
                <w:p w14:paraId="7889C75B">
                  <w:pPr>
                    <w:pStyle w:val="33"/>
                    <w:rPr>
                      <w:color w:val="auto"/>
                    </w:rPr>
                  </w:pPr>
                  <w:r>
                    <w:rPr>
                      <w:rFonts w:hint="eastAsia"/>
                      <w:color w:val="auto"/>
                    </w:rPr>
                    <w:t>已建</w:t>
                  </w:r>
                </w:p>
              </w:tc>
            </w:tr>
            <w:tr w14:paraId="3D077B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39681C31">
                  <w:pPr>
                    <w:pStyle w:val="33"/>
                    <w:rPr>
                      <w:color w:val="auto"/>
                    </w:rPr>
                  </w:pPr>
                </w:p>
              </w:tc>
              <w:tc>
                <w:tcPr>
                  <w:tcW w:w="665" w:type="pct"/>
                  <w:tcBorders>
                    <w:tl2br w:val="nil"/>
                    <w:tr2bl w:val="nil"/>
                  </w:tcBorders>
                  <w:vAlign w:val="center"/>
                </w:tcPr>
                <w:p w14:paraId="6A0E67C1">
                  <w:pPr>
                    <w:pStyle w:val="33"/>
                    <w:rPr>
                      <w:color w:val="auto"/>
                    </w:rPr>
                  </w:pPr>
                  <w:r>
                    <w:rPr>
                      <w:rFonts w:hint="eastAsia"/>
                      <w:color w:val="auto"/>
                    </w:rPr>
                    <w:t>包材库</w:t>
                  </w:r>
                </w:p>
              </w:tc>
              <w:tc>
                <w:tcPr>
                  <w:tcW w:w="3409" w:type="pct"/>
                  <w:tcBorders>
                    <w:tl2br w:val="nil"/>
                    <w:tr2bl w:val="nil"/>
                  </w:tcBorders>
                  <w:vAlign w:val="center"/>
                </w:tcPr>
                <w:p w14:paraId="45AF3CCA">
                  <w:pPr>
                    <w:pStyle w:val="33"/>
                    <w:rPr>
                      <w:color w:val="auto"/>
                    </w:rPr>
                  </w:pPr>
                  <w:r>
                    <w:rPr>
                      <w:color w:val="auto"/>
                    </w:rPr>
                    <w:t>占地面积</w:t>
                  </w:r>
                  <w:r>
                    <w:rPr>
                      <w:rFonts w:hint="eastAsia"/>
                      <w:color w:val="auto"/>
                    </w:rPr>
                    <w:t>共</w:t>
                  </w:r>
                  <w:r>
                    <w:rPr>
                      <w:color w:val="auto"/>
                    </w:rPr>
                    <w:t>约</w:t>
                  </w:r>
                  <w:r>
                    <w:rPr>
                      <w:rFonts w:hint="eastAsia"/>
                      <w:color w:val="auto"/>
                    </w:rPr>
                    <w:t>120</w:t>
                  </w:r>
                  <w:r>
                    <w:rPr>
                      <w:color w:val="auto"/>
                    </w:rPr>
                    <w:t>m</w:t>
                  </w:r>
                  <w:r>
                    <w:rPr>
                      <w:color w:val="auto"/>
                      <w:vertAlign w:val="superscript"/>
                    </w:rPr>
                    <w:t>2</w:t>
                  </w:r>
                  <w:r>
                    <w:rPr>
                      <w:color w:val="auto"/>
                    </w:rPr>
                    <w:t>，设置内、外包材存放区域，用于包装袋、瓶、瓶盖、纸箱等包装材料储存。</w:t>
                  </w:r>
                </w:p>
              </w:tc>
              <w:tc>
                <w:tcPr>
                  <w:tcW w:w="423" w:type="pct"/>
                  <w:tcBorders>
                    <w:tl2br w:val="nil"/>
                    <w:tr2bl w:val="nil"/>
                  </w:tcBorders>
                  <w:vAlign w:val="center"/>
                </w:tcPr>
                <w:p w14:paraId="6EBBFDE0">
                  <w:pPr>
                    <w:pStyle w:val="33"/>
                    <w:rPr>
                      <w:color w:val="auto"/>
                    </w:rPr>
                  </w:pPr>
                  <w:r>
                    <w:rPr>
                      <w:rFonts w:hint="eastAsia"/>
                      <w:color w:val="auto"/>
                    </w:rPr>
                    <w:t>已建</w:t>
                  </w:r>
                </w:p>
              </w:tc>
            </w:tr>
            <w:tr w14:paraId="09B80E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630D507A">
                  <w:pPr>
                    <w:pStyle w:val="33"/>
                    <w:rPr>
                      <w:color w:val="auto"/>
                    </w:rPr>
                  </w:pPr>
                </w:p>
              </w:tc>
              <w:tc>
                <w:tcPr>
                  <w:tcW w:w="665" w:type="pct"/>
                  <w:tcBorders>
                    <w:tl2br w:val="nil"/>
                    <w:tr2bl w:val="nil"/>
                  </w:tcBorders>
                  <w:vAlign w:val="center"/>
                </w:tcPr>
                <w:p w14:paraId="10D53E13">
                  <w:pPr>
                    <w:pStyle w:val="33"/>
                    <w:rPr>
                      <w:color w:val="auto"/>
                    </w:rPr>
                  </w:pPr>
                  <w:r>
                    <w:rPr>
                      <w:rFonts w:hint="eastAsia"/>
                      <w:color w:val="auto"/>
                    </w:rPr>
                    <w:t>成品库</w:t>
                  </w:r>
                </w:p>
              </w:tc>
              <w:tc>
                <w:tcPr>
                  <w:tcW w:w="3409" w:type="pct"/>
                  <w:tcBorders>
                    <w:tl2br w:val="nil"/>
                    <w:tr2bl w:val="nil"/>
                  </w:tcBorders>
                  <w:vAlign w:val="center"/>
                </w:tcPr>
                <w:p w14:paraId="5FBB2C00">
                  <w:pPr>
                    <w:pStyle w:val="33"/>
                    <w:rPr>
                      <w:color w:val="auto"/>
                    </w:rPr>
                  </w:pPr>
                  <w:r>
                    <w:rPr>
                      <w:color w:val="auto"/>
                    </w:rPr>
                    <w:t>占地面积约</w:t>
                  </w:r>
                  <w:r>
                    <w:rPr>
                      <w:rFonts w:hint="eastAsia"/>
                      <w:color w:val="auto"/>
                    </w:rPr>
                    <w:t>400</w:t>
                  </w:r>
                  <w:r>
                    <w:rPr>
                      <w:color w:val="auto"/>
                    </w:rPr>
                    <w:t>m</w:t>
                  </w:r>
                  <w:r>
                    <w:rPr>
                      <w:color w:val="auto"/>
                      <w:vertAlign w:val="superscript"/>
                    </w:rPr>
                    <w:t>2</w:t>
                  </w:r>
                  <w:r>
                    <w:rPr>
                      <w:color w:val="auto"/>
                    </w:rPr>
                    <w:t>，用于包装完成后的成品暂存。</w:t>
                  </w:r>
                </w:p>
              </w:tc>
              <w:tc>
                <w:tcPr>
                  <w:tcW w:w="423" w:type="pct"/>
                  <w:tcBorders>
                    <w:tl2br w:val="nil"/>
                    <w:tr2bl w:val="nil"/>
                  </w:tcBorders>
                  <w:vAlign w:val="center"/>
                </w:tcPr>
                <w:p w14:paraId="2A93F8AF">
                  <w:pPr>
                    <w:pStyle w:val="33"/>
                    <w:rPr>
                      <w:color w:val="auto"/>
                    </w:rPr>
                  </w:pPr>
                  <w:r>
                    <w:rPr>
                      <w:rFonts w:hint="eastAsia"/>
                      <w:color w:val="auto"/>
                    </w:rPr>
                    <w:t>已建</w:t>
                  </w:r>
                </w:p>
              </w:tc>
            </w:tr>
            <w:tr w14:paraId="5DAEEB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tcBorders>
                    <w:tl2br w:val="nil"/>
                    <w:tr2bl w:val="nil"/>
                  </w:tcBorders>
                  <w:vAlign w:val="center"/>
                </w:tcPr>
                <w:p w14:paraId="751684D6">
                  <w:pPr>
                    <w:pStyle w:val="33"/>
                    <w:rPr>
                      <w:color w:val="auto"/>
                    </w:rPr>
                  </w:pPr>
                  <w:r>
                    <w:rPr>
                      <w:rFonts w:hint="eastAsia"/>
                      <w:color w:val="auto"/>
                    </w:rPr>
                    <w:t>辅助工程</w:t>
                  </w:r>
                </w:p>
              </w:tc>
              <w:tc>
                <w:tcPr>
                  <w:tcW w:w="665" w:type="pct"/>
                  <w:tcBorders>
                    <w:tl2br w:val="nil"/>
                    <w:tr2bl w:val="nil"/>
                  </w:tcBorders>
                  <w:vAlign w:val="center"/>
                </w:tcPr>
                <w:p w14:paraId="7BF30F15">
                  <w:pPr>
                    <w:pStyle w:val="33"/>
                    <w:rPr>
                      <w:color w:val="auto"/>
                    </w:rPr>
                  </w:pPr>
                  <w:r>
                    <w:rPr>
                      <w:rFonts w:hint="eastAsia"/>
                      <w:color w:val="auto"/>
                    </w:rPr>
                    <w:t>办公辅助区</w:t>
                  </w:r>
                </w:p>
              </w:tc>
              <w:tc>
                <w:tcPr>
                  <w:tcW w:w="3409" w:type="pct"/>
                  <w:tcBorders>
                    <w:tl2br w:val="nil"/>
                    <w:tr2bl w:val="nil"/>
                  </w:tcBorders>
                  <w:vAlign w:val="center"/>
                </w:tcPr>
                <w:p w14:paraId="369696E2">
                  <w:pPr>
                    <w:pStyle w:val="33"/>
                    <w:rPr>
                      <w:color w:val="auto"/>
                    </w:rPr>
                  </w:pPr>
                  <w:r>
                    <w:rPr>
                      <w:color w:val="auto"/>
                    </w:rPr>
                    <w:t>设置仓管办公室、更衣间、洁具间等辅助用房。</w:t>
                  </w:r>
                </w:p>
              </w:tc>
              <w:tc>
                <w:tcPr>
                  <w:tcW w:w="423" w:type="pct"/>
                  <w:tcBorders>
                    <w:tl2br w:val="nil"/>
                    <w:tr2bl w:val="nil"/>
                  </w:tcBorders>
                  <w:vAlign w:val="center"/>
                </w:tcPr>
                <w:p w14:paraId="4A27387D">
                  <w:pPr>
                    <w:pStyle w:val="33"/>
                    <w:rPr>
                      <w:color w:val="auto"/>
                    </w:rPr>
                  </w:pPr>
                  <w:r>
                    <w:rPr>
                      <w:rFonts w:hint="eastAsia"/>
                      <w:color w:val="auto"/>
                    </w:rPr>
                    <w:t>已建</w:t>
                  </w:r>
                </w:p>
              </w:tc>
            </w:tr>
            <w:tr w14:paraId="09C6BE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restart"/>
                  <w:tcBorders>
                    <w:tl2br w:val="nil"/>
                    <w:tr2bl w:val="nil"/>
                  </w:tcBorders>
                  <w:vAlign w:val="center"/>
                </w:tcPr>
                <w:p w14:paraId="1261F090">
                  <w:pPr>
                    <w:pStyle w:val="33"/>
                    <w:rPr>
                      <w:color w:val="auto"/>
                    </w:rPr>
                  </w:pPr>
                  <w:r>
                    <w:rPr>
                      <w:rFonts w:hint="eastAsia"/>
                      <w:color w:val="auto"/>
                    </w:rPr>
                    <w:t>公用工程</w:t>
                  </w:r>
                </w:p>
              </w:tc>
              <w:tc>
                <w:tcPr>
                  <w:tcW w:w="665" w:type="pct"/>
                  <w:tcBorders>
                    <w:tl2br w:val="nil"/>
                    <w:tr2bl w:val="nil"/>
                  </w:tcBorders>
                  <w:vAlign w:val="center"/>
                </w:tcPr>
                <w:p w14:paraId="52568E1E">
                  <w:pPr>
                    <w:pStyle w:val="33"/>
                    <w:rPr>
                      <w:color w:val="auto"/>
                    </w:rPr>
                  </w:pPr>
                  <w:r>
                    <w:rPr>
                      <w:rFonts w:hint="eastAsia"/>
                      <w:color w:val="auto"/>
                    </w:rPr>
                    <w:t>给水工程</w:t>
                  </w:r>
                </w:p>
              </w:tc>
              <w:tc>
                <w:tcPr>
                  <w:tcW w:w="3409" w:type="pct"/>
                  <w:tcBorders>
                    <w:tl2br w:val="nil"/>
                    <w:tr2bl w:val="nil"/>
                  </w:tcBorders>
                  <w:vAlign w:val="center"/>
                </w:tcPr>
                <w:p w14:paraId="5D96EB84">
                  <w:pPr>
                    <w:pStyle w:val="33"/>
                    <w:rPr>
                      <w:color w:val="auto"/>
                    </w:rPr>
                  </w:pPr>
                  <w:r>
                    <w:rPr>
                      <w:color w:val="auto"/>
                    </w:rPr>
                    <w:t>项目生产、生活用水由市政给水管网供给，主要用于生产</w:t>
                  </w:r>
                  <w:r>
                    <w:rPr>
                      <w:rFonts w:hint="eastAsia"/>
                      <w:color w:val="auto"/>
                    </w:rPr>
                    <w:t>原辅</w:t>
                  </w:r>
                  <w:r>
                    <w:rPr>
                      <w:color w:val="auto"/>
                    </w:rPr>
                    <w:t>料清洗、设备及地面清洗及员工生活。</w:t>
                  </w:r>
                </w:p>
              </w:tc>
              <w:tc>
                <w:tcPr>
                  <w:tcW w:w="423" w:type="pct"/>
                  <w:tcBorders>
                    <w:tl2br w:val="nil"/>
                    <w:tr2bl w:val="nil"/>
                  </w:tcBorders>
                  <w:vAlign w:val="center"/>
                </w:tcPr>
                <w:p w14:paraId="01D5FFE6">
                  <w:pPr>
                    <w:pStyle w:val="33"/>
                    <w:rPr>
                      <w:color w:val="auto"/>
                    </w:rPr>
                  </w:pPr>
                  <w:r>
                    <w:rPr>
                      <w:rFonts w:hint="eastAsia"/>
                      <w:color w:val="auto"/>
                    </w:rPr>
                    <w:t>依托</w:t>
                  </w:r>
                </w:p>
              </w:tc>
            </w:tr>
            <w:tr w14:paraId="54BF7B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28991494">
                  <w:pPr>
                    <w:pStyle w:val="33"/>
                    <w:rPr>
                      <w:color w:val="auto"/>
                    </w:rPr>
                  </w:pPr>
                </w:p>
              </w:tc>
              <w:tc>
                <w:tcPr>
                  <w:tcW w:w="665" w:type="pct"/>
                  <w:tcBorders>
                    <w:tl2br w:val="nil"/>
                    <w:tr2bl w:val="nil"/>
                  </w:tcBorders>
                  <w:vAlign w:val="center"/>
                </w:tcPr>
                <w:p w14:paraId="13B72C21">
                  <w:pPr>
                    <w:pStyle w:val="33"/>
                    <w:rPr>
                      <w:color w:val="auto"/>
                    </w:rPr>
                  </w:pPr>
                  <w:r>
                    <w:rPr>
                      <w:rFonts w:hint="eastAsia"/>
                      <w:color w:val="auto"/>
                    </w:rPr>
                    <w:t>供电工程</w:t>
                  </w:r>
                </w:p>
              </w:tc>
              <w:tc>
                <w:tcPr>
                  <w:tcW w:w="3409" w:type="pct"/>
                  <w:tcBorders>
                    <w:tl2br w:val="nil"/>
                    <w:tr2bl w:val="nil"/>
                  </w:tcBorders>
                  <w:vAlign w:val="center"/>
                </w:tcPr>
                <w:p w14:paraId="7524A552">
                  <w:pPr>
                    <w:pStyle w:val="33"/>
                    <w:rPr>
                      <w:color w:val="auto"/>
                    </w:rPr>
                  </w:pPr>
                  <w:r>
                    <w:rPr>
                      <w:color w:val="auto"/>
                    </w:rPr>
                    <w:t>项目用电由市政电网供给。</w:t>
                  </w:r>
                </w:p>
              </w:tc>
              <w:tc>
                <w:tcPr>
                  <w:tcW w:w="423" w:type="pct"/>
                  <w:tcBorders>
                    <w:tl2br w:val="nil"/>
                    <w:tr2bl w:val="nil"/>
                  </w:tcBorders>
                  <w:vAlign w:val="center"/>
                </w:tcPr>
                <w:p w14:paraId="19E72D3F">
                  <w:pPr>
                    <w:pStyle w:val="33"/>
                    <w:rPr>
                      <w:color w:val="auto"/>
                    </w:rPr>
                  </w:pPr>
                  <w:r>
                    <w:rPr>
                      <w:rFonts w:hint="eastAsia"/>
                      <w:color w:val="auto"/>
                    </w:rPr>
                    <w:t>依托</w:t>
                  </w:r>
                </w:p>
              </w:tc>
            </w:tr>
            <w:tr w14:paraId="0C1F90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50F9ED4D">
                  <w:pPr>
                    <w:pStyle w:val="33"/>
                    <w:rPr>
                      <w:color w:val="auto"/>
                    </w:rPr>
                  </w:pPr>
                </w:p>
              </w:tc>
              <w:tc>
                <w:tcPr>
                  <w:tcW w:w="665" w:type="pct"/>
                  <w:tcBorders>
                    <w:tl2br w:val="nil"/>
                    <w:tr2bl w:val="nil"/>
                  </w:tcBorders>
                  <w:vAlign w:val="center"/>
                </w:tcPr>
                <w:p w14:paraId="1F118A4D">
                  <w:pPr>
                    <w:pStyle w:val="33"/>
                    <w:rPr>
                      <w:color w:val="auto"/>
                    </w:rPr>
                  </w:pPr>
                  <w:r>
                    <w:rPr>
                      <w:rFonts w:hint="eastAsia"/>
                      <w:color w:val="auto"/>
                    </w:rPr>
                    <w:t>供气工程</w:t>
                  </w:r>
                </w:p>
              </w:tc>
              <w:tc>
                <w:tcPr>
                  <w:tcW w:w="3409" w:type="pct"/>
                  <w:tcBorders>
                    <w:tl2br w:val="nil"/>
                    <w:tr2bl w:val="nil"/>
                  </w:tcBorders>
                  <w:vAlign w:val="center"/>
                </w:tcPr>
                <w:p w14:paraId="7EF371F4">
                  <w:pPr>
                    <w:pStyle w:val="33"/>
                    <w:rPr>
                      <w:color w:val="auto"/>
                    </w:rPr>
                  </w:pPr>
                  <w:r>
                    <w:rPr>
                      <w:color w:val="auto"/>
                    </w:rPr>
                    <w:t>项目天然气由</w:t>
                  </w:r>
                  <w:r>
                    <w:rPr>
                      <w:rFonts w:hint="eastAsia"/>
                      <w:color w:val="auto"/>
                    </w:rPr>
                    <w:t>柳州港华燃气有限公司</w:t>
                  </w:r>
                  <w:r>
                    <w:rPr>
                      <w:color w:val="auto"/>
                    </w:rPr>
                    <w:t>供给，主要用于熟制、炒制等生产加热。</w:t>
                  </w:r>
                </w:p>
              </w:tc>
              <w:tc>
                <w:tcPr>
                  <w:tcW w:w="423" w:type="pct"/>
                  <w:tcBorders>
                    <w:tl2br w:val="nil"/>
                    <w:tr2bl w:val="nil"/>
                  </w:tcBorders>
                  <w:vAlign w:val="center"/>
                </w:tcPr>
                <w:p w14:paraId="5C679081">
                  <w:pPr>
                    <w:pStyle w:val="33"/>
                    <w:rPr>
                      <w:color w:val="auto"/>
                    </w:rPr>
                  </w:pPr>
                  <w:r>
                    <w:rPr>
                      <w:rFonts w:hint="eastAsia"/>
                      <w:color w:val="auto"/>
                    </w:rPr>
                    <w:t>依托</w:t>
                  </w:r>
                </w:p>
              </w:tc>
            </w:tr>
            <w:tr w14:paraId="376759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31ED32CD">
                  <w:pPr>
                    <w:pStyle w:val="33"/>
                    <w:rPr>
                      <w:color w:val="auto"/>
                    </w:rPr>
                  </w:pPr>
                </w:p>
              </w:tc>
              <w:tc>
                <w:tcPr>
                  <w:tcW w:w="665" w:type="pct"/>
                  <w:tcBorders>
                    <w:tl2br w:val="nil"/>
                    <w:tr2bl w:val="nil"/>
                  </w:tcBorders>
                  <w:vAlign w:val="center"/>
                </w:tcPr>
                <w:p w14:paraId="73C2B69D">
                  <w:pPr>
                    <w:pStyle w:val="33"/>
                    <w:rPr>
                      <w:color w:val="auto"/>
                    </w:rPr>
                  </w:pPr>
                  <w:r>
                    <w:rPr>
                      <w:rFonts w:hint="eastAsia"/>
                      <w:color w:val="auto"/>
                    </w:rPr>
                    <w:t>排水工程</w:t>
                  </w:r>
                </w:p>
              </w:tc>
              <w:tc>
                <w:tcPr>
                  <w:tcW w:w="3409" w:type="pct"/>
                  <w:tcBorders>
                    <w:tl2br w:val="nil"/>
                    <w:tr2bl w:val="nil"/>
                  </w:tcBorders>
                  <w:vAlign w:val="center"/>
                </w:tcPr>
                <w:p w14:paraId="0FE4A491">
                  <w:pPr>
                    <w:pStyle w:val="33"/>
                    <w:rPr>
                      <w:color w:val="auto"/>
                    </w:rPr>
                  </w:pPr>
                  <w:r>
                    <w:rPr>
                      <w:color w:val="auto"/>
                    </w:rPr>
                    <w:t>厂区实行雨污分流。生产废水主要包括原料清洗废水、设备清洗废水、地面清洗废水，</w:t>
                  </w:r>
                  <w:r>
                    <w:rPr>
                      <w:rFonts w:hint="eastAsia"/>
                      <w:color w:val="auto"/>
                      <w:lang w:eastAsia="zh-CN"/>
                    </w:rPr>
                    <w:t>经厂区自建污水处理设施“隔油沉淀+一体化A/O工艺”</w:t>
                  </w:r>
                  <w:r>
                    <w:rPr>
                      <w:color w:val="auto"/>
                    </w:rPr>
                    <w:t>处理后排入园区污水管网；生活污水经化粪池预处理后排入园区污水管网，最终进入新兴污水处理厂进一步处理。</w:t>
                  </w:r>
                </w:p>
              </w:tc>
              <w:tc>
                <w:tcPr>
                  <w:tcW w:w="423" w:type="pct"/>
                  <w:tcBorders>
                    <w:tl2br w:val="nil"/>
                    <w:tr2bl w:val="nil"/>
                  </w:tcBorders>
                  <w:vAlign w:val="center"/>
                </w:tcPr>
                <w:p w14:paraId="518A0825">
                  <w:pPr>
                    <w:pStyle w:val="33"/>
                    <w:rPr>
                      <w:rFonts w:hint="default" w:eastAsia="宋体"/>
                      <w:color w:val="auto"/>
                      <w:lang w:val="en-US" w:eastAsia="zh-CN"/>
                    </w:rPr>
                  </w:pPr>
                  <w:r>
                    <w:rPr>
                      <w:rFonts w:hint="eastAsia"/>
                      <w:color w:val="auto"/>
                      <w:lang w:val="en-US" w:eastAsia="zh-CN"/>
                    </w:rPr>
                    <w:t>未建</w:t>
                  </w:r>
                </w:p>
              </w:tc>
            </w:tr>
            <w:tr w14:paraId="6CCBFA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restart"/>
                  <w:tcBorders>
                    <w:tl2br w:val="nil"/>
                    <w:tr2bl w:val="nil"/>
                  </w:tcBorders>
                  <w:vAlign w:val="center"/>
                </w:tcPr>
                <w:p w14:paraId="12E11FC0">
                  <w:pPr>
                    <w:pStyle w:val="33"/>
                    <w:rPr>
                      <w:color w:val="auto"/>
                    </w:rPr>
                  </w:pPr>
                  <w:r>
                    <w:rPr>
                      <w:rFonts w:hint="eastAsia"/>
                      <w:color w:val="auto"/>
                    </w:rPr>
                    <w:t>环保工程</w:t>
                  </w:r>
                </w:p>
              </w:tc>
              <w:tc>
                <w:tcPr>
                  <w:tcW w:w="665" w:type="pct"/>
                  <w:tcBorders>
                    <w:tl2br w:val="nil"/>
                    <w:tr2bl w:val="nil"/>
                  </w:tcBorders>
                  <w:vAlign w:val="center"/>
                </w:tcPr>
                <w:p w14:paraId="618BCE95">
                  <w:pPr>
                    <w:pStyle w:val="33"/>
                    <w:rPr>
                      <w:color w:val="auto"/>
                    </w:rPr>
                  </w:pPr>
                  <w:r>
                    <w:rPr>
                      <w:rFonts w:hint="eastAsia"/>
                      <w:color w:val="auto"/>
                    </w:rPr>
                    <w:t>废气</w:t>
                  </w:r>
                </w:p>
              </w:tc>
              <w:tc>
                <w:tcPr>
                  <w:tcW w:w="3409" w:type="pct"/>
                  <w:tcBorders>
                    <w:tl2br w:val="nil"/>
                    <w:tr2bl w:val="nil"/>
                  </w:tcBorders>
                  <w:vAlign w:val="center"/>
                </w:tcPr>
                <w:p w14:paraId="4B810F0F">
                  <w:pPr>
                    <w:pStyle w:val="33"/>
                    <w:rPr>
                      <w:color w:val="auto"/>
                    </w:rPr>
                  </w:pPr>
                  <w:r>
                    <w:rPr>
                      <w:color w:val="auto"/>
                    </w:rPr>
                    <w:t>粉碎、投料、混合、制粒、干燥及包装工序产生的少量颗粒物，通过设备密闭、缓慢投料、降低物料落差及及时清扫等措施减少逸散，以无组织形式排放；熬制、炒制工序产生的油烟和异味经集气罩收集、油烟净化设施处理，天然气燃烧废气随油烟废气一并收集，最终通过1根18m高排气筒（DA001）有组织排放。</w:t>
                  </w:r>
                </w:p>
              </w:tc>
              <w:tc>
                <w:tcPr>
                  <w:tcW w:w="423" w:type="pct"/>
                  <w:tcBorders>
                    <w:tl2br w:val="nil"/>
                    <w:tr2bl w:val="nil"/>
                  </w:tcBorders>
                  <w:vAlign w:val="center"/>
                </w:tcPr>
                <w:p w14:paraId="312B7FA0">
                  <w:pPr>
                    <w:pStyle w:val="33"/>
                    <w:rPr>
                      <w:color w:val="auto"/>
                    </w:rPr>
                  </w:pPr>
                  <w:r>
                    <w:rPr>
                      <w:rFonts w:hint="eastAsia"/>
                      <w:color w:val="auto"/>
                      <w:lang w:val="en-US" w:eastAsia="zh-CN"/>
                    </w:rPr>
                    <w:t>未建</w:t>
                  </w:r>
                </w:p>
              </w:tc>
            </w:tr>
            <w:tr w14:paraId="74CF01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68526D74">
                  <w:pPr>
                    <w:pStyle w:val="33"/>
                    <w:rPr>
                      <w:color w:val="auto"/>
                    </w:rPr>
                  </w:pPr>
                </w:p>
              </w:tc>
              <w:tc>
                <w:tcPr>
                  <w:tcW w:w="665" w:type="pct"/>
                  <w:tcBorders>
                    <w:tl2br w:val="nil"/>
                    <w:tr2bl w:val="nil"/>
                  </w:tcBorders>
                  <w:vAlign w:val="center"/>
                </w:tcPr>
                <w:p w14:paraId="3D3DD6C7">
                  <w:pPr>
                    <w:pStyle w:val="33"/>
                    <w:rPr>
                      <w:color w:val="auto"/>
                    </w:rPr>
                  </w:pPr>
                  <w:r>
                    <w:rPr>
                      <w:rFonts w:hint="eastAsia"/>
                      <w:color w:val="auto"/>
                    </w:rPr>
                    <w:t>废水</w:t>
                  </w:r>
                </w:p>
              </w:tc>
              <w:tc>
                <w:tcPr>
                  <w:tcW w:w="3409" w:type="pct"/>
                  <w:tcBorders>
                    <w:tl2br w:val="nil"/>
                    <w:tr2bl w:val="nil"/>
                  </w:tcBorders>
                  <w:vAlign w:val="center"/>
                </w:tcPr>
                <w:p w14:paraId="08656FC1">
                  <w:pPr>
                    <w:pStyle w:val="33"/>
                    <w:rPr>
                      <w:color w:val="auto"/>
                    </w:rPr>
                  </w:pPr>
                  <w:r>
                    <w:rPr>
                      <w:color w:val="auto"/>
                    </w:rPr>
                    <w:t>生产废水</w:t>
                  </w:r>
                  <w:r>
                    <w:rPr>
                      <w:rFonts w:hint="eastAsia"/>
                      <w:color w:val="auto"/>
                      <w:lang w:eastAsia="zh-CN"/>
                    </w:rPr>
                    <w:t>经厂区自建污水处理设施“隔油沉淀+一体化A/O工艺”</w:t>
                  </w:r>
                  <w:r>
                    <w:rPr>
                      <w:color w:val="auto"/>
                    </w:rPr>
                    <w:t>处理后排入园区污水管网；生活污水经化粪池预处理后排入园区污水管网，最终进入新兴污水处理厂进一步处理。</w:t>
                  </w:r>
                </w:p>
              </w:tc>
              <w:tc>
                <w:tcPr>
                  <w:tcW w:w="423" w:type="pct"/>
                  <w:tcBorders>
                    <w:tl2br w:val="nil"/>
                    <w:tr2bl w:val="nil"/>
                  </w:tcBorders>
                  <w:vAlign w:val="center"/>
                </w:tcPr>
                <w:p w14:paraId="367D0253">
                  <w:pPr>
                    <w:pStyle w:val="33"/>
                    <w:rPr>
                      <w:color w:val="auto"/>
                    </w:rPr>
                  </w:pPr>
                  <w:r>
                    <w:rPr>
                      <w:rFonts w:hint="eastAsia"/>
                      <w:color w:val="auto"/>
                      <w:lang w:val="en-US" w:eastAsia="zh-CN"/>
                    </w:rPr>
                    <w:t>未建</w:t>
                  </w:r>
                </w:p>
              </w:tc>
            </w:tr>
            <w:tr w14:paraId="59E659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44745D79">
                  <w:pPr>
                    <w:pStyle w:val="33"/>
                    <w:rPr>
                      <w:color w:val="auto"/>
                    </w:rPr>
                  </w:pPr>
                </w:p>
              </w:tc>
              <w:tc>
                <w:tcPr>
                  <w:tcW w:w="665" w:type="pct"/>
                  <w:tcBorders>
                    <w:tl2br w:val="nil"/>
                    <w:tr2bl w:val="nil"/>
                  </w:tcBorders>
                  <w:vAlign w:val="center"/>
                </w:tcPr>
                <w:p w14:paraId="3F32BB35">
                  <w:pPr>
                    <w:pStyle w:val="33"/>
                    <w:rPr>
                      <w:color w:val="auto"/>
                    </w:rPr>
                  </w:pPr>
                  <w:r>
                    <w:rPr>
                      <w:rFonts w:hint="eastAsia"/>
                      <w:color w:val="auto"/>
                    </w:rPr>
                    <w:t>固废</w:t>
                  </w:r>
                </w:p>
              </w:tc>
              <w:tc>
                <w:tcPr>
                  <w:tcW w:w="3409" w:type="pct"/>
                  <w:tcBorders>
                    <w:tl2br w:val="nil"/>
                    <w:tr2bl w:val="nil"/>
                  </w:tcBorders>
                  <w:vAlign w:val="center"/>
                </w:tcPr>
                <w:p w14:paraId="1844A856">
                  <w:pPr>
                    <w:pStyle w:val="33"/>
                    <w:rPr>
                      <w:rFonts w:hint="eastAsia" w:eastAsia="宋体"/>
                      <w:color w:val="auto"/>
                      <w:lang w:eastAsia="zh-CN"/>
                    </w:rPr>
                  </w:pPr>
                  <w:r>
                    <w:rPr>
                      <w:color w:val="auto"/>
                    </w:rPr>
                    <w:t>原料预处理废弃物、过滤残渣、不合格品、隔油沉淀浮渣及污水处理污泥等一般工业固体废物分类收集后，委托有处理能力的单位处置；废包装材料外售综合利用，除尘器收集粉尘回用于生产，生活垃圾由环卫部门统一清运</w:t>
                  </w:r>
                  <w:r>
                    <w:rPr>
                      <w:rFonts w:hint="eastAsia"/>
                      <w:color w:val="auto"/>
                      <w:lang w:eastAsia="zh-CN"/>
                    </w:rPr>
                    <w:t>；</w:t>
                  </w:r>
                  <w:r>
                    <w:rPr>
                      <w:rFonts w:hint="eastAsia"/>
                      <w:color w:val="auto"/>
                      <w:lang w:val="en-US" w:eastAsia="zh-CN"/>
                    </w:rPr>
                    <w:t>废润滑油和含油抹布及手套</w:t>
                  </w:r>
                  <w:r>
                    <w:rPr>
                      <w:rFonts w:hint="eastAsia"/>
                      <w:color w:val="auto"/>
                      <w:lang w:eastAsia="zh-CN"/>
                    </w:rPr>
                    <w:t>分类收集后暂存于危废贮存点，定期委托有危险废物处置资质的单位处置。</w:t>
                  </w:r>
                </w:p>
              </w:tc>
              <w:tc>
                <w:tcPr>
                  <w:tcW w:w="423" w:type="pct"/>
                  <w:tcBorders>
                    <w:tl2br w:val="nil"/>
                    <w:tr2bl w:val="nil"/>
                  </w:tcBorders>
                  <w:vAlign w:val="center"/>
                </w:tcPr>
                <w:p w14:paraId="1CFABB0B">
                  <w:pPr>
                    <w:pStyle w:val="33"/>
                    <w:rPr>
                      <w:color w:val="auto"/>
                    </w:rPr>
                  </w:pPr>
                  <w:r>
                    <w:rPr>
                      <w:rFonts w:hint="eastAsia"/>
                      <w:color w:val="auto"/>
                      <w:lang w:val="en-US" w:eastAsia="zh-CN"/>
                    </w:rPr>
                    <w:t>未建</w:t>
                  </w:r>
                </w:p>
              </w:tc>
            </w:tr>
            <w:tr w14:paraId="500A96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Merge w:val="continue"/>
                  <w:tcBorders>
                    <w:tl2br w:val="nil"/>
                    <w:tr2bl w:val="nil"/>
                  </w:tcBorders>
                  <w:vAlign w:val="center"/>
                </w:tcPr>
                <w:p w14:paraId="75095E03">
                  <w:pPr>
                    <w:pStyle w:val="33"/>
                    <w:rPr>
                      <w:color w:val="auto"/>
                    </w:rPr>
                  </w:pPr>
                </w:p>
              </w:tc>
              <w:tc>
                <w:tcPr>
                  <w:tcW w:w="665" w:type="pct"/>
                  <w:tcBorders>
                    <w:tl2br w:val="nil"/>
                    <w:tr2bl w:val="nil"/>
                  </w:tcBorders>
                  <w:vAlign w:val="center"/>
                </w:tcPr>
                <w:p w14:paraId="036881D8">
                  <w:pPr>
                    <w:pStyle w:val="33"/>
                    <w:rPr>
                      <w:color w:val="auto"/>
                    </w:rPr>
                  </w:pPr>
                  <w:r>
                    <w:rPr>
                      <w:rFonts w:hint="eastAsia"/>
                      <w:color w:val="auto"/>
                    </w:rPr>
                    <w:t>噪声</w:t>
                  </w:r>
                </w:p>
              </w:tc>
              <w:tc>
                <w:tcPr>
                  <w:tcW w:w="3409" w:type="pct"/>
                  <w:tcBorders>
                    <w:tl2br w:val="nil"/>
                    <w:tr2bl w:val="nil"/>
                  </w:tcBorders>
                  <w:vAlign w:val="center"/>
                </w:tcPr>
                <w:p w14:paraId="5B49EC8C">
                  <w:pPr>
                    <w:pStyle w:val="33"/>
                    <w:rPr>
                      <w:color w:val="auto"/>
                    </w:rPr>
                  </w:pPr>
                  <w:r>
                    <w:rPr>
                      <w:color w:val="auto"/>
                    </w:rPr>
                    <w:t>选用低噪声设备，采取基础减振、厂房隔声、设备维护、合理布局等降噪措施。</w:t>
                  </w:r>
                </w:p>
              </w:tc>
              <w:tc>
                <w:tcPr>
                  <w:tcW w:w="423" w:type="pct"/>
                  <w:tcBorders>
                    <w:tl2br w:val="nil"/>
                    <w:tr2bl w:val="nil"/>
                  </w:tcBorders>
                  <w:vAlign w:val="center"/>
                </w:tcPr>
                <w:p w14:paraId="3E048FBA">
                  <w:pPr>
                    <w:pStyle w:val="33"/>
                    <w:rPr>
                      <w:rFonts w:hint="eastAsia" w:eastAsia="宋体"/>
                      <w:color w:val="auto"/>
                      <w:lang w:eastAsia="zh-CN"/>
                    </w:rPr>
                  </w:pPr>
                  <w:r>
                    <w:rPr>
                      <w:rFonts w:hint="eastAsia"/>
                      <w:color w:val="auto"/>
                      <w:lang w:val="en-US" w:eastAsia="zh-CN"/>
                    </w:rPr>
                    <w:t>已建</w:t>
                  </w:r>
                </w:p>
              </w:tc>
            </w:tr>
            <w:tr w14:paraId="00C7D7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tcBorders>
                    <w:tl2br w:val="nil"/>
                    <w:tr2bl w:val="nil"/>
                  </w:tcBorders>
                  <w:vAlign w:val="center"/>
                </w:tcPr>
                <w:p w14:paraId="4137EFD7">
                  <w:pPr>
                    <w:pStyle w:val="33"/>
                    <w:rPr>
                      <w:color w:val="auto"/>
                    </w:rPr>
                  </w:pPr>
                  <w:r>
                    <w:rPr>
                      <w:rFonts w:hint="eastAsia"/>
                      <w:color w:val="auto"/>
                    </w:rPr>
                    <w:t>依托工程</w:t>
                  </w:r>
                </w:p>
              </w:tc>
              <w:tc>
                <w:tcPr>
                  <w:tcW w:w="665" w:type="pct"/>
                  <w:tcBorders>
                    <w:tl2br w:val="nil"/>
                    <w:tr2bl w:val="nil"/>
                  </w:tcBorders>
                  <w:vAlign w:val="center"/>
                </w:tcPr>
                <w:p w14:paraId="19F8D477">
                  <w:pPr>
                    <w:pStyle w:val="33"/>
                    <w:rPr>
                      <w:color w:val="auto"/>
                    </w:rPr>
                  </w:pPr>
                  <w:r>
                    <w:rPr>
                      <w:rFonts w:hint="eastAsia"/>
                      <w:color w:val="auto"/>
                    </w:rPr>
                    <w:t>新兴污水处理厂</w:t>
                  </w:r>
                </w:p>
              </w:tc>
              <w:tc>
                <w:tcPr>
                  <w:tcW w:w="3409" w:type="pct"/>
                  <w:tcBorders>
                    <w:tl2br w:val="nil"/>
                    <w:tr2bl w:val="nil"/>
                  </w:tcBorders>
                  <w:vAlign w:val="center"/>
                </w:tcPr>
                <w:p w14:paraId="79FB8609">
                  <w:pPr>
                    <w:pStyle w:val="33"/>
                    <w:rPr>
                      <w:color w:val="auto"/>
                    </w:rPr>
                  </w:pPr>
                  <w:r>
                    <w:rPr>
                      <w:color w:val="auto"/>
                    </w:rPr>
                    <w:t>项目生产废水和生活污水经厂区预处理达到纳管要求后，通过园区污水管网排入柳江区新兴工业园污水处理厂，由污水处理厂按照现行环评批复、排污许可证及国家有关排放标准处理达标后排放。</w:t>
                  </w:r>
                </w:p>
              </w:tc>
              <w:tc>
                <w:tcPr>
                  <w:tcW w:w="423" w:type="pct"/>
                  <w:tcBorders>
                    <w:tl2br w:val="nil"/>
                    <w:tr2bl w:val="nil"/>
                  </w:tcBorders>
                  <w:vAlign w:val="center"/>
                </w:tcPr>
                <w:p w14:paraId="4151F8F0">
                  <w:pPr>
                    <w:pStyle w:val="33"/>
                    <w:rPr>
                      <w:color w:val="auto"/>
                    </w:rPr>
                  </w:pPr>
                  <w:r>
                    <w:rPr>
                      <w:rFonts w:hint="eastAsia"/>
                      <w:color w:val="auto"/>
                    </w:rPr>
                    <w:t>依托</w:t>
                  </w:r>
                </w:p>
              </w:tc>
            </w:tr>
          </w:tbl>
          <w:p w14:paraId="0DAE60F7">
            <w:pPr>
              <w:ind w:firstLine="482"/>
              <w:rPr>
                <w:color w:val="auto"/>
              </w:rPr>
            </w:pPr>
            <w:r>
              <w:rPr>
                <w:rFonts w:hint="eastAsia"/>
                <w:b/>
                <w:bCs/>
                <w:color w:val="auto"/>
              </w:rPr>
              <w:t>4、主要设备</w:t>
            </w:r>
          </w:p>
          <w:p w14:paraId="75CA8B84">
            <w:pPr>
              <w:ind w:firstLine="480"/>
              <w:rPr>
                <w:color w:val="auto"/>
              </w:rPr>
            </w:pPr>
            <w:r>
              <w:rPr>
                <w:rFonts w:hint="eastAsia"/>
                <w:color w:val="auto"/>
              </w:rPr>
              <w:t>本项目生产项目见表2-2。</w:t>
            </w:r>
          </w:p>
          <w:p w14:paraId="76573D99">
            <w:pPr>
              <w:pStyle w:val="35"/>
              <w:rPr>
                <w:rFonts w:hint="default"/>
                <w:color w:val="auto"/>
              </w:rPr>
            </w:pPr>
            <w:r>
              <w:rPr>
                <w:color w:val="auto"/>
              </w:rPr>
              <w:t>表2-2 主要设备一览表</w:t>
            </w:r>
          </w:p>
          <w:tbl>
            <w:tblPr>
              <w:tblStyle w:val="1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92"/>
              <w:gridCol w:w="2112"/>
              <w:gridCol w:w="732"/>
              <w:gridCol w:w="815"/>
              <w:gridCol w:w="2475"/>
            </w:tblGrid>
            <w:tr w14:paraId="5DB61E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vAlign w:val="center"/>
                </w:tcPr>
                <w:p w14:paraId="0BE31BBC">
                  <w:pPr>
                    <w:pStyle w:val="33"/>
                    <w:rPr>
                      <w:color w:val="auto"/>
                    </w:rPr>
                  </w:pPr>
                  <w:r>
                    <w:rPr>
                      <w:rFonts w:hint="eastAsia"/>
                      <w:color w:val="auto"/>
                    </w:rPr>
                    <w:t>名称</w:t>
                  </w:r>
                </w:p>
              </w:tc>
              <w:tc>
                <w:tcPr>
                  <w:tcW w:w="1299" w:type="pct"/>
                  <w:tcBorders>
                    <w:tl2br w:val="nil"/>
                    <w:tr2bl w:val="nil"/>
                  </w:tcBorders>
                  <w:vAlign w:val="center"/>
                </w:tcPr>
                <w:p w14:paraId="22ABA63C">
                  <w:pPr>
                    <w:pStyle w:val="33"/>
                    <w:rPr>
                      <w:color w:val="auto"/>
                    </w:rPr>
                  </w:pPr>
                  <w:r>
                    <w:rPr>
                      <w:rFonts w:hint="eastAsia"/>
                      <w:color w:val="auto"/>
                    </w:rPr>
                    <w:t>规格/型号</w:t>
                  </w:r>
                </w:p>
              </w:tc>
              <w:tc>
                <w:tcPr>
                  <w:tcW w:w="450" w:type="pct"/>
                  <w:tcBorders>
                    <w:tl2br w:val="nil"/>
                    <w:tr2bl w:val="nil"/>
                  </w:tcBorders>
                  <w:vAlign w:val="center"/>
                </w:tcPr>
                <w:p w14:paraId="2E150259">
                  <w:pPr>
                    <w:pStyle w:val="33"/>
                    <w:rPr>
                      <w:color w:val="auto"/>
                    </w:rPr>
                  </w:pPr>
                  <w:r>
                    <w:rPr>
                      <w:rFonts w:hint="eastAsia"/>
                      <w:color w:val="auto"/>
                    </w:rPr>
                    <w:t>单位</w:t>
                  </w:r>
                </w:p>
              </w:tc>
              <w:tc>
                <w:tcPr>
                  <w:tcW w:w="501" w:type="pct"/>
                  <w:tcBorders>
                    <w:tl2br w:val="nil"/>
                    <w:tr2bl w:val="nil"/>
                  </w:tcBorders>
                  <w:vAlign w:val="center"/>
                </w:tcPr>
                <w:p w14:paraId="7707CCCC">
                  <w:pPr>
                    <w:pStyle w:val="33"/>
                    <w:rPr>
                      <w:color w:val="auto"/>
                    </w:rPr>
                  </w:pPr>
                  <w:r>
                    <w:rPr>
                      <w:rFonts w:hint="eastAsia"/>
                      <w:color w:val="auto"/>
                    </w:rPr>
                    <w:t>数量</w:t>
                  </w:r>
                </w:p>
              </w:tc>
              <w:tc>
                <w:tcPr>
                  <w:tcW w:w="1522" w:type="pct"/>
                  <w:tcBorders>
                    <w:tl2br w:val="nil"/>
                    <w:tr2bl w:val="nil"/>
                  </w:tcBorders>
                  <w:vAlign w:val="center"/>
                </w:tcPr>
                <w:p w14:paraId="59EFC06E">
                  <w:pPr>
                    <w:pStyle w:val="33"/>
                    <w:rPr>
                      <w:color w:val="auto"/>
                    </w:rPr>
                  </w:pPr>
                  <w:r>
                    <w:rPr>
                      <w:rFonts w:hint="eastAsia"/>
                      <w:color w:val="auto"/>
                    </w:rPr>
                    <w:t>位置</w:t>
                  </w:r>
                </w:p>
              </w:tc>
            </w:tr>
            <w:tr w14:paraId="5810DD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5B678894">
                  <w:pPr>
                    <w:pStyle w:val="33"/>
                    <w:bidi w:val="0"/>
                    <w:jc w:val="center"/>
                    <w:rPr>
                      <w:color w:val="auto"/>
                    </w:rPr>
                  </w:pPr>
                  <w:r>
                    <w:rPr>
                      <w:color w:val="auto"/>
                    </w:rPr>
                    <w:t>洗姜机</w:t>
                  </w:r>
                </w:p>
              </w:tc>
              <w:tc>
                <w:tcPr>
                  <w:tcW w:w="1299" w:type="pct"/>
                  <w:tcBorders>
                    <w:tl2br w:val="nil"/>
                    <w:tr2bl w:val="nil"/>
                  </w:tcBorders>
                  <w:shd w:val="clear" w:color="auto" w:fill="auto"/>
                  <w:vAlign w:val="center"/>
                </w:tcPr>
                <w:p w14:paraId="614A0908">
                  <w:pPr>
                    <w:pStyle w:val="33"/>
                    <w:bidi w:val="0"/>
                    <w:rPr>
                      <w:color w:val="auto"/>
                      <w:lang w:val="en-US" w:eastAsia="zh-CN"/>
                    </w:rPr>
                  </w:pPr>
                  <w:r>
                    <w:rPr>
                      <w:color w:val="auto"/>
                    </w:rPr>
                    <w:t>YB-XJJ800型</w:t>
                  </w:r>
                </w:p>
              </w:tc>
              <w:tc>
                <w:tcPr>
                  <w:tcW w:w="450" w:type="pct"/>
                  <w:tcBorders>
                    <w:tl2br w:val="nil"/>
                    <w:tr2bl w:val="nil"/>
                  </w:tcBorders>
                  <w:vAlign w:val="center"/>
                </w:tcPr>
                <w:p w14:paraId="70496201">
                  <w:pPr>
                    <w:pStyle w:val="33"/>
                    <w:rPr>
                      <w:color w:val="auto"/>
                    </w:rPr>
                  </w:pPr>
                  <w:r>
                    <w:rPr>
                      <w:rFonts w:hint="eastAsia"/>
                      <w:color w:val="auto"/>
                    </w:rPr>
                    <w:t>台</w:t>
                  </w:r>
                </w:p>
              </w:tc>
              <w:tc>
                <w:tcPr>
                  <w:tcW w:w="501" w:type="pct"/>
                  <w:tcBorders>
                    <w:tl2br w:val="nil"/>
                    <w:tr2bl w:val="nil"/>
                  </w:tcBorders>
                  <w:shd w:val="clear" w:color="auto" w:fill="auto"/>
                  <w:vAlign w:val="center"/>
                </w:tcPr>
                <w:p w14:paraId="4A41A1FF">
                  <w:pPr>
                    <w:pStyle w:val="33"/>
                    <w:bidi w:val="0"/>
                    <w:jc w:val="center"/>
                    <w:rPr>
                      <w:color w:val="auto"/>
                      <w:lang w:val="en-US" w:eastAsia="zh-CN"/>
                    </w:rPr>
                  </w:pPr>
                  <w:r>
                    <w:rPr>
                      <w:color w:val="auto"/>
                    </w:rPr>
                    <w:t>1</w:t>
                  </w:r>
                </w:p>
              </w:tc>
              <w:tc>
                <w:tcPr>
                  <w:tcW w:w="1522" w:type="pct"/>
                  <w:tcBorders>
                    <w:tl2br w:val="nil"/>
                    <w:tr2bl w:val="nil"/>
                  </w:tcBorders>
                  <w:shd w:val="clear" w:color="auto" w:fill="auto"/>
                  <w:vAlign w:val="center"/>
                </w:tcPr>
                <w:p w14:paraId="6F98E833">
                  <w:pPr>
                    <w:pStyle w:val="33"/>
                    <w:bidi w:val="0"/>
                    <w:rPr>
                      <w:color w:val="auto"/>
                      <w:lang w:val="en-US" w:eastAsia="zh-CN"/>
                    </w:rPr>
                  </w:pPr>
                  <w:r>
                    <w:rPr>
                      <w:color w:val="auto"/>
                    </w:rPr>
                    <w:t>拆包间</w:t>
                  </w:r>
                </w:p>
              </w:tc>
            </w:tr>
            <w:tr w14:paraId="3A246F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1A11EDCF">
                  <w:pPr>
                    <w:pStyle w:val="33"/>
                    <w:bidi w:val="0"/>
                    <w:jc w:val="center"/>
                    <w:rPr>
                      <w:color w:val="auto"/>
                      <w:lang w:val="en-US" w:eastAsia="zh-CN"/>
                    </w:rPr>
                  </w:pPr>
                  <w:r>
                    <w:rPr>
                      <w:color w:val="auto"/>
                    </w:rPr>
                    <w:t>斩拌机</w:t>
                  </w:r>
                </w:p>
              </w:tc>
              <w:tc>
                <w:tcPr>
                  <w:tcW w:w="1299" w:type="pct"/>
                  <w:tcBorders>
                    <w:tl2br w:val="nil"/>
                    <w:tr2bl w:val="nil"/>
                  </w:tcBorders>
                  <w:shd w:val="clear" w:color="auto" w:fill="auto"/>
                  <w:vAlign w:val="center"/>
                </w:tcPr>
                <w:p w14:paraId="3CDCCCA8">
                  <w:pPr>
                    <w:pStyle w:val="33"/>
                    <w:bidi w:val="0"/>
                    <w:rPr>
                      <w:color w:val="auto"/>
                      <w:lang w:val="en-US" w:eastAsia="zh-CN"/>
                    </w:rPr>
                  </w:pPr>
                  <w:r>
                    <w:rPr>
                      <w:color w:val="auto"/>
                    </w:rPr>
                    <w:t>ZB40</w:t>
                  </w:r>
                </w:p>
              </w:tc>
              <w:tc>
                <w:tcPr>
                  <w:tcW w:w="450" w:type="pct"/>
                  <w:tcBorders>
                    <w:tl2br w:val="nil"/>
                    <w:tr2bl w:val="nil"/>
                  </w:tcBorders>
                  <w:vAlign w:val="center"/>
                </w:tcPr>
                <w:p w14:paraId="7DA4142E">
                  <w:pPr>
                    <w:pStyle w:val="33"/>
                    <w:rPr>
                      <w:color w:val="auto"/>
                    </w:rPr>
                  </w:pPr>
                  <w:r>
                    <w:rPr>
                      <w:rFonts w:hint="eastAsia"/>
                      <w:color w:val="auto"/>
                    </w:rPr>
                    <w:t>台</w:t>
                  </w:r>
                </w:p>
              </w:tc>
              <w:tc>
                <w:tcPr>
                  <w:tcW w:w="501" w:type="pct"/>
                  <w:tcBorders>
                    <w:tl2br w:val="nil"/>
                    <w:tr2bl w:val="nil"/>
                  </w:tcBorders>
                  <w:shd w:val="clear" w:color="auto" w:fill="auto"/>
                  <w:vAlign w:val="center"/>
                </w:tcPr>
                <w:p w14:paraId="1AA73009">
                  <w:pPr>
                    <w:pStyle w:val="33"/>
                    <w:bidi w:val="0"/>
                    <w:jc w:val="center"/>
                    <w:rPr>
                      <w:color w:val="auto"/>
                      <w:lang w:val="en-US" w:eastAsia="zh-CN"/>
                    </w:rPr>
                  </w:pPr>
                  <w:r>
                    <w:rPr>
                      <w:color w:val="auto"/>
                    </w:rPr>
                    <w:t>1</w:t>
                  </w:r>
                </w:p>
              </w:tc>
              <w:tc>
                <w:tcPr>
                  <w:tcW w:w="1522" w:type="pct"/>
                  <w:tcBorders>
                    <w:tl2br w:val="nil"/>
                    <w:tr2bl w:val="nil"/>
                  </w:tcBorders>
                  <w:shd w:val="clear" w:color="auto" w:fill="auto"/>
                  <w:vAlign w:val="center"/>
                </w:tcPr>
                <w:p w14:paraId="310579F5">
                  <w:pPr>
                    <w:pStyle w:val="33"/>
                    <w:bidi w:val="0"/>
                    <w:rPr>
                      <w:color w:val="auto"/>
                      <w:lang w:val="en-US" w:eastAsia="zh-CN"/>
                    </w:rPr>
                  </w:pPr>
                  <w:r>
                    <w:rPr>
                      <w:color w:val="auto"/>
                    </w:rPr>
                    <w:t>拆包间</w:t>
                  </w:r>
                </w:p>
              </w:tc>
            </w:tr>
            <w:tr w14:paraId="625771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22CB6833">
                  <w:pPr>
                    <w:pStyle w:val="33"/>
                    <w:bidi w:val="0"/>
                    <w:jc w:val="center"/>
                    <w:rPr>
                      <w:color w:val="auto"/>
                      <w:lang w:val="en-US" w:eastAsia="zh-CN"/>
                    </w:rPr>
                  </w:pPr>
                  <w:r>
                    <w:rPr>
                      <w:color w:val="auto"/>
                    </w:rPr>
                    <w:t>冰柜</w:t>
                  </w:r>
                </w:p>
              </w:tc>
              <w:tc>
                <w:tcPr>
                  <w:tcW w:w="1299" w:type="pct"/>
                  <w:tcBorders>
                    <w:tl2br w:val="nil"/>
                    <w:tr2bl w:val="nil"/>
                  </w:tcBorders>
                  <w:shd w:val="clear" w:color="auto" w:fill="auto"/>
                  <w:vAlign w:val="center"/>
                </w:tcPr>
                <w:p w14:paraId="7069307C">
                  <w:pPr>
                    <w:pStyle w:val="33"/>
                    <w:bidi w:val="0"/>
                    <w:rPr>
                      <w:color w:val="auto"/>
                      <w:lang w:val="en-US" w:eastAsia="zh-CN"/>
                    </w:rPr>
                  </w:pPr>
                  <w:r>
                    <w:rPr>
                      <w:color w:val="auto"/>
                    </w:rPr>
                    <w:t>—</w:t>
                  </w:r>
                </w:p>
              </w:tc>
              <w:tc>
                <w:tcPr>
                  <w:tcW w:w="450" w:type="pct"/>
                  <w:tcBorders>
                    <w:tl2br w:val="nil"/>
                    <w:tr2bl w:val="nil"/>
                  </w:tcBorders>
                  <w:vAlign w:val="center"/>
                </w:tcPr>
                <w:p w14:paraId="0E75FB96">
                  <w:pPr>
                    <w:pStyle w:val="33"/>
                    <w:rPr>
                      <w:color w:val="auto"/>
                    </w:rPr>
                  </w:pPr>
                  <w:r>
                    <w:rPr>
                      <w:rFonts w:hint="eastAsia"/>
                      <w:color w:val="auto"/>
                    </w:rPr>
                    <w:t>台</w:t>
                  </w:r>
                </w:p>
              </w:tc>
              <w:tc>
                <w:tcPr>
                  <w:tcW w:w="501" w:type="pct"/>
                  <w:tcBorders>
                    <w:tl2br w:val="nil"/>
                    <w:tr2bl w:val="nil"/>
                  </w:tcBorders>
                  <w:shd w:val="clear" w:color="auto" w:fill="auto"/>
                  <w:vAlign w:val="center"/>
                </w:tcPr>
                <w:p w14:paraId="5F416AC1">
                  <w:pPr>
                    <w:pStyle w:val="33"/>
                    <w:bidi w:val="0"/>
                    <w:jc w:val="center"/>
                    <w:rPr>
                      <w:color w:val="auto"/>
                      <w:lang w:val="en-US" w:eastAsia="zh-CN"/>
                    </w:rPr>
                  </w:pPr>
                  <w:r>
                    <w:rPr>
                      <w:color w:val="auto"/>
                    </w:rPr>
                    <w:t>1</w:t>
                  </w:r>
                </w:p>
              </w:tc>
              <w:tc>
                <w:tcPr>
                  <w:tcW w:w="1522" w:type="pct"/>
                  <w:tcBorders>
                    <w:tl2br w:val="nil"/>
                    <w:tr2bl w:val="nil"/>
                  </w:tcBorders>
                  <w:shd w:val="clear" w:color="auto" w:fill="auto"/>
                  <w:vAlign w:val="center"/>
                </w:tcPr>
                <w:p w14:paraId="596DBF79">
                  <w:pPr>
                    <w:pStyle w:val="33"/>
                    <w:bidi w:val="0"/>
                    <w:rPr>
                      <w:color w:val="auto"/>
                      <w:lang w:val="en-US" w:eastAsia="zh-CN"/>
                    </w:rPr>
                  </w:pPr>
                  <w:r>
                    <w:rPr>
                      <w:color w:val="auto"/>
                    </w:rPr>
                    <w:t>拆包间</w:t>
                  </w:r>
                </w:p>
              </w:tc>
            </w:tr>
            <w:tr w14:paraId="5B2FE4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4FB6A8EF">
                  <w:pPr>
                    <w:pStyle w:val="33"/>
                    <w:bidi w:val="0"/>
                    <w:jc w:val="center"/>
                    <w:rPr>
                      <w:color w:val="auto"/>
                      <w:lang w:val="en-US" w:eastAsia="zh-CN"/>
                    </w:rPr>
                  </w:pPr>
                  <w:r>
                    <w:rPr>
                      <w:color w:val="auto"/>
                    </w:rPr>
                    <w:t>胶体磨</w:t>
                  </w:r>
                </w:p>
              </w:tc>
              <w:tc>
                <w:tcPr>
                  <w:tcW w:w="1299" w:type="pct"/>
                  <w:tcBorders>
                    <w:tl2br w:val="nil"/>
                    <w:tr2bl w:val="nil"/>
                  </w:tcBorders>
                  <w:shd w:val="clear" w:color="auto" w:fill="auto"/>
                  <w:vAlign w:val="center"/>
                </w:tcPr>
                <w:p w14:paraId="2D7BA747">
                  <w:pPr>
                    <w:pStyle w:val="33"/>
                    <w:bidi w:val="0"/>
                    <w:rPr>
                      <w:color w:val="auto"/>
                      <w:lang w:val="en-US" w:eastAsia="zh-CN"/>
                    </w:rPr>
                  </w:pPr>
                  <w:r>
                    <w:rPr>
                      <w:color w:val="auto"/>
                    </w:rPr>
                    <w:t>—</w:t>
                  </w:r>
                </w:p>
              </w:tc>
              <w:tc>
                <w:tcPr>
                  <w:tcW w:w="450" w:type="pct"/>
                  <w:tcBorders>
                    <w:tl2br w:val="nil"/>
                    <w:tr2bl w:val="nil"/>
                  </w:tcBorders>
                  <w:vAlign w:val="center"/>
                </w:tcPr>
                <w:p w14:paraId="7BCD0915">
                  <w:pPr>
                    <w:pStyle w:val="33"/>
                    <w:rPr>
                      <w:color w:val="auto"/>
                    </w:rPr>
                  </w:pPr>
                  <w:r>
                    <w:rPr>
                      <w:rFonts w:hint="eastAsia"/>
                      <w:color w:val="auto"/>
                    </w:rPr>
                    <w:t>台</w:t>
                  </w:r>
                </w:p>
              </w:tc>
              <w:tc>
                <w:tcPr>
                  <w:tcW w:w="501" w:type="pct"/>
                  <w:tcBorders>
                    <w:tl2br w:val="nil"/>
                    <w:tr2bl w:val="nil"/>
                  </w:tcBorders>
                  <w:shd w:val="clear" w:color="auto" w:fill="auto"/>
                  <w:vAlign w:val="center"/>
                </w:tcPr>
                <w:p w14:paraId="03E276F9">
                  <w:pPr>
                    <w:pStyle w:val="33"/>
                    <w:bidi w:val="0"/>
                    <w:jc w:val="center"/>
                    <w:rPr>
                      <w:color w:val="auto"/>
                      <w:lang w:val="en-US" w:eastAsia="zh-CN"/>
                    </w:rPr>
                  </w:pPr>
                  <w:r>
                    <w:rPr>
                      <w:color w:val="auto"/>
                    </w:rPr>
                    <w:t>1</w:t>
                  </w:r>
                </w:p>
              </w:tc>
              <w:tc>
                <w:tcPr>
                  <w:tcW w:w="1522" w:type="pct"/>
                  <w:tcBorders>
                    <w:tl2br w:val="nil"/>
                    <w:tr2bl w:val="nil"/>
                  </w:tcBorders>
                  <w:shd w:val="clear" w:color="auto" w:fill="auto"/>
                  <w:vAlign w:val="center"/>
                </w:tcPr>
                <w:p w14:paraId="31F69145">
                  <w:pPr>
                    <w:pStyle w:val="33"/>
                    <w:bidi w:val="0"/>
                    <w:rPr>
                      <w:color w:val="auto"/>
                      <w:lang w:val="en-US" w:eastAsia="zh-CN"/>
                    </w:rPr>
                  </w:pPr>
                  <w:r>
                    <w:rPr>
                      <w:color w:val="auto"/>
                    </w:rPr>
                    <w:t>预处理间</w:t>
                  </w:r>
                </w:p>
              </w:tc>
            </w:tr>
            <w:tr w14:paraId="7201D4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575DD392">
                  <w:pPr>
                    <w:pStyle w:val="33"/>
                    <w:bidi w:val="0"/>
                    <w:jc w:val="center"/>
                    <w:rPr>
                      <w:color w:val="auto"/>
                      <w:lang w:val="en-US" w:eastAsia="zh-CN"/>
                    </w:rPr>
                  </w:pPr>
                  <w:r>
                    <w:rPr>
                      <w:color w:val="auto"/>
                    </w:rPr>
                    <w:t>不锈钢清洗池</w:t>
                  </w:r>
                </w:p>
              </w:tc>
              <w:tc>
                <w:tcPr>
                  <w:tcW w:w="1299" w:type="pct"/>
                  <w:tcBorders>
                    <w:tl2br w:val="nil"/>
                    <w:tr2bl w:val="nil"/>
                  </w:tcBorders>
                  <w:shd w:val="clear" w:color="auto" w:fill="auto"/>
                  <w:vAlign w:val="center"/>
                </w:tcPr>
                <w:p w14:paraId="458A7669">
                  <w:pPr>
                    <w:pStyle w:val="33"/>
                    <w:bidi w:val="0"/>
                    <w:rPr>
                      <w:color w:val="auto"/>
                      <w:lang w:val="en-US" w:eastAsia="zh-CN"/>
                    </w:rPr>
                  </w:pPr>
                  <w:r>
                    <w:rPr>
                      <w:color w:val="auto"/>
                    </w:rPr>
                    <w:t>0.6×0.6m</w:t>
                  </w:r>
                </w:p>
              </w:tc>
              <w:tc>
                <w:tcPr>
                  <w:tcW w:w="450" w:type="pct"/>
                  <w:tcBorders>
                    <w:tl2br w:val="nil"/>
                    <w:tr2bl w:val="nil"/>
                  </w:tcBorders>
                  <w:vAlign w:val="center"/>
                </w:tcPr>
                <w:p w14:paraId="6BED62F9">
                  <w:pPr>
                    <w:pStyle w:val="33"/>
                    <w:rPr>
                      <w:color w:val="auto"/>
                    </w:rPr>
                  </w:pPr>
                  <w:r>
                    <w:rPr>
                      <w:rFonts w:hint="eastAsia"/>
                      <w:color w:val="auto"/>
                    </w:rPr>
                    <w:t>台</w:t>
                  </w:r>
                </w:p>
              </w:tc>
              <w:tc>
                <w:tcPr>
                  <w:tcW w:w="501" w:type="pct"/>
                  <w:tcBorders>
                    <w:tl2br w:val="nil"/>
                    <w:tr2bl w:val="nil"/>
                  </w:tcBorders>
                  <w:shd w:val="clear" w:color="auto" w:fill="auto"/>
                  <w:vAlign w:val="center"/>
                </w:tcPr>
                <w:p w14:paraId="0CFAD994">
                  <w:pPr>
                    <w:pStyle w:val="33"/>
                    <w:bidi w:val="0"/>
                    <w:jc w:val="center"/>
                    <w:rPr>
                      <w:color w:val="auto"/>
                      <w:lang w:val="en-US" w:eastAsia="zh-CN"/>
                    </w:rPr>
                  </w:pPr>
                  <w:r>
                    <w:rPr>
                      <w:color w:val="auto"/>
                    </w:rPr>
                    <w:t>1</w:t>
                  </w:r>
                </w:p>
              </w:tc>
              <w:tc>
                <w:tcPr>
                  <w:tcW w:w="1522" w:type="pct"/>
                  <w:tcBorders>
                    <w:tl2br w:val="nil"/>
                    <w:tr2bl w:val="nil"/>
                  </w:tcBorders>
                  <w:shd w:val="clear" w:color="auto" w:fill="auto"/>
                  <w:vAlign w:val="center"/>
                </w:tcPr>
                <w:p w14:paraId="7079215D">
                  <w:pPr>
                    <w:pStyle w:val="33"/>
                    <w:bidi w:val="0"/>
                    <w:rPr>
                      <w:color w:val="auto"/>
                      <w:lang w:val="en-US" w:eastAsia="zh-CN"/>
                    </w:rPr>
                  </w:pPr>
                  <w:r>
                    <w:rPr>
                      <w:color w:val="auto"/>
                    </w:rPr>
                    <w:t>预处理间</w:t>
                  </w:r>
                </w:p>
              </w:tc>
            </w:tr>
            <w:tr w14:paraId="6B85E9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4B4461D1">
                  <w:pPr>
                    <w:pStyle w:val="33"/>
                    <w:bidi w:val="0"/>
                    <w:jc w:val="center"/>
                    <w:rPr>
                      <w:color w:val="auto"/>
                      <w:lang w:val="en-US" w:eastAsia="zh-CN"/>
                    </w:rPr>
                  </w:pPr>
                  <w:r>
                    <w:rPr>
                      <w:color w:val="auto"/>
                    </w:rPr>
                    <w:t>不锈钢工作台</w:t>
                  </w:r>
                </w:p>
              </w:tc>
              <w:tc>
                <w:tcPr>
                  <w:tcW w:w="1299" w:type="pct"/>
                  <w:tcBorders>
                    <w:tl2br w:val="nil"/>
                    <w:tr2bl w:val="nil"/>
                  </w:tcBorders>
                  <w:shd w:val="clear" w:color="auto" w:fill="auto"/>
                  <w:vAlign w:val="center"/>
                </w:tcPr>
                <w:p w14:paraId="1969701C">
                  <w:pPr>
                    <w:pStyle w:val="33"/>
                    <w:bidi w:val="0"/>
                    <w:rPr>
                      <w:color w:val="auto"/>
                      <w:lang w:val="en-US" w:eastAsia="zh-CN"/>
                    </w:rPr>
                  </w:pPr>
                  <w:r>
                    <w:rPr>
                      <w:color w:val="auto"/>
                    </w:rPr>
                    <w:t>—</w:t>
                  </w:r>
                </w:p>
              </w:tc>
              <w:tc>
                <w:tcPr>
                  <w:tcW w:w="450" w:type="pct"/>
                  <w:tcBorders>
                    <w:tl2br w:val="nil"/>
                    <w:tr2bl w:val="nil"/>
                  </w:tcBorders>
                  <w:vAlign w:val="center"/>
                </w:tcPr>
                <w:p w14:paraId="7CFEAC33">
                  <w:pPr>
                    <w:pStyle w:val="33"/>
                    <w:rPr>
                      <w:color w:val="auto"/>
                    </w:rPr>
                  </w:pPr>
                  <w:r>
                    <w:rPr>
                      <w:rFonts w:hint="eastAsia"/>
                      <w:color w:val="auto"/>
                    </w:rPr>
                    <w:t>台</w:t>
                  </w:r>
                </w:p>
              </w:tc>
              <w:tc>
                <w:tcPr>
                  <w:tcW w:w="501" w:type="pct"/>
                  <w:tcBorders>
                    <w:tl2br w:val="nil"/>
                    <w:tr2bl w:val="nil"/>
                  </w:tcBorders>
                  <w:shd w:val="clear" w:color="auto" w:fill="auto"/>
                  <w:vAlign w:val="center"/>
                </w:tcPr>
                <w:p w14:paraId="51210C0C">
                  <w:pPr>
                    <w:pStyle w:val="33"/>
                    <w:bidi w:val="0"/>
                    <w:jc w:val="center"/>
                    <w:rPr>
                      <w:color w:val="auto"/>
                      <w:lang w:val="en-US" w:eastAsia="zh-CN"/>
                    </w:rPr>
                  </w:pPr>
                  <w:r>
                    <w:rPr>
                      <w:color w:val="auto"/>
                    </w:rPr>
                    <w:t>1</w:t>
                  </w:r>
                </w:p>
              </w:tc>
              <w:tc>
                <w:tcPr>
                  <w:tcW w:w="1522" w:type="pct"/>
                  <w:tcBorders>
                    <w:tl2br w:val="nil"/>
                    <w:tr2bl w:val="nil"/>
                  </w:tcBorders>
                  <w:shd w:val="clear" w:color="auto" w:fill="auto"/>
                  <w:vAlign w:val="center"/>
                </w:tcPr>
                <w:p w14:paraId="2C9F04BF">
                  <w:pPr>
                    <w:pStyle w:val="33"/>
                    <w:bidi w:val="0"/>
                    <w:rPr>
                      <w:color w:val="auto"/>
                      <w:lang w:val="en-US" w:eastAsia="zh-CN"/>
                    </w:rPr>
                  </w:pPr>
                  <w:r>
                    <w:rPr>
                      <w:color w:val="auto"/>
                    </w:rPr>
                    <w:t>预处理间</w:t>
                  </w:r>
                </w:p>
              </w:tc>
            </w:tr>
            <w:tr w14:paraId="38BF05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0B552278">
                  <w:pPr>
                    <w:pStyle w:val="33"/>
                    <w:bidi w:val="0"/>
                    <w:jc w:val="center"/>
                    <w:rPr>
                      <w:color w:val="auto"/>
                      <w:lang w:val="en-US" w:eastAsia="zh-CN"/>
                    </w:rPr>
                  </w:pPr>
                  <w:r>
                    <w:rPr>
                      <w:color w:val="auto"/>
                    </w:rPr>
                    <w:t>万能粉碎机</w:t>
                  </w:r>
                </w:p>
              </w:tc>
              <w:tc>
                <w:tcPr>
                  <w:tcW w:w="1299" w:type="pct"/>
                  <w:tcBorders>
                    <w:tl2br w:val="nil"/>
                    <w:tr2bl w:val="nil"/>
                  </w:tcBorders>
                  <w:shd w:val="clear" w:color="auto" w:fill="auto"/>
                  <w:vAlign w:val="center"/>
                </w:tcPr>
                <w:p w14:paraId="5C181F3F">
                  <w:pPr>
                    <w:pStyle w:val="33"/>
                    <w:bidi w:val="0"/>
                    <w:rPr>
                      <w:color w:val="auto"/>
                      <w:lang w:val="en-US" w:eastAsia="zh-CN"/>
                    </w:rPr>
                  </w:pPr>
                  <w:r>
                    <w:rPr>
                      <w:color w:val="auto"/>
                    </w:rPr>
                    <w:t>WF-50B</w:t>
                  </w:r>
                </w:p>
              </w:tc>
              <w:tc>
                <w:tcPr>
                  <w:tcW w:w="450" w:type="pct"/>
                  <w:tcBorders>
                    <w:tl2br w:val="nil"/>
                    <w:tr2bl w:val="nil"/>
                  </w:tcBorders>
                  <w:vAlign w:val="center"/>
                </w:tcPr>
                <w:p w14:paraId="2473A2EF">
                  <w:pPr>
                    <w:pStyle w:val="33"/>
                    <w:rPr>
                      <w:color w:val="auto"/>
                    </w:rPr>
                  </w:pPr>
                  <w:r>
                    <w:rPr>
                      <w:rFonts w:hint="eastAsia"/>
                      <w:color w:val="auto"/>
                    </w:rPr>
                    <w:t>台</w:t>
                  </w:r>
                </w:p>
              </w:tc>
              <w:tc>
                <w:tcPr>
                  <w:tcW w:w="501" w:type="pct"/>
                  <w:tcBorders>
                    <w:tl2br w:val="nil"/>
                    <w:tr2bl w:val="nil"/>
                  </w:tcBorders>
                  <w:shd w:val="clear" w:color="auto" w:fill="auto"/>
                  <w:vAlign w:val="center"/>
                </w:tcPr>
                <w:p w14:paraId="033E65A6">
                  <w:pPr>
                    <w:pStyle w:val="33"/>
                    <w:bidi w:val="0"/>
                    <w:jc w:val="center"/>
                    <w:rPr>
                      <w:color w:val="auto"/>
                      <w:lang w:val="en-US" w:eastAsia="zh-CN"/>
                    </w:rPr>
                  </w:pPr>
                  <w:r>
                    <w:rPr>
                      <w:color w:val="auto"/>
                    </w:rPr>
                    <w:t>1</w:t>
                  </w:r>
                </w:p>
              </w:tc>
              <w:tc>
                <w:tcPr>
                  <w:tcW w:w="1522" w:type="pct"/>
                  <w:tcBorders>
                    <w:tl2br w:val="nil"/>
                    <w:tr2bl w:val="nil"/>
                  </w:tcBorders>
                  <w:shd w:val="clear" w:color="auto" w:fill="auto"/>
                  <w:vAlign w:val="center"/>
                </w:tcPr>
                <w:p w14:paraId="00D2F99F">
                  <w:pPr>
                    <w:pStyle w:val="33"/>
                    <w:bidi w:val="0"/>
                    <w:rPr>
                      <w:color w:val="auto"/>
                      <w:lang w:val="en-US" w:eastAsia="zh-CN"/>
                    </w:rPr>
                  </w:pPr>
                  <w:r>
                    <w:rPr>
                      <w:color w:val="auto"/>
                    </w:rPr>
                    <w:t>粉碎间</w:t>
                  </w:r>
                </w:p>
              </w:tc>
            </w:tr>
            <w:tr w14:paraId="67B050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1354D50A">
                  <w:pPr>
                    <w:pStyle w:val="33"/>
                    <w:bidi w:val="0"/>
                    <w:jc w:val="center"/>
                    <w:rPr>
                      <w:color w:val="auto"/>
                      <w:lang w:val="en-US" w:eastAsia="zh-CN"/>
                    </w:rPr>
                  </w:pPr>
                  <w:r>
                    <w:rPr>
                      <w:color w:val="auto"/>
                    </w:rPr>
                    <w:t>粉碎机</w:t>
                  </w:r>
                </w:p>
              </w:tc>
              <w:tc>
                <w:tcPr>
                  <w:tcW w:w="1299" w:type="pct"/>
                  <w:tcBorders>
                    <w:tl2br w:val="nil"/>
                    <w:tr2bl w:val="nil"/>
                  </w:tcBorders>
                  <w:shd w:val="clear" w:color="auto" w:fill="auto"/>
                  <w:vAlign w:val="center"/>
                </w:tcPr>
                <w:p w14:paraId="387DA5CB">
                  <w:pPr>
                    <w:pStyle w:val="33"/>
                    <w:bidi w:val="0"/>
                    <w:rPr>
                      <w:color w:val="auto"/>
                      <w:lang w:val="en-US" w:eastAsia="zh-CN"/>
                    </w:rPr>
                  </w:pPr>
                  <w:r>
                    <w:rPr>
                      <w:color w:val="auto"/>
                    </w:rPr>
                    <w:t>—</w:t>
                  </w:r>
                </w:p>
              </w:tc>
              <w:tc>
                <w:tcPr>
                  <w:tcW w:w="450" w:type="pct"/>
                  <w:tcBorders>
                    <w:tl2br w:val="nil"/>
                    <w:tr2bl w:val="nil"/>
                  </w:tcBorders>
                  <w:vAlign w:val="center"/>
                </w:tcPr>
                <w:p w14:paraId="474E2953">
                  <w:pPr>
                    <w:pStyle w:val="33"/>
                    <w:rPr>
                      <w:color w:val="auto"/>
                    </w:rPr>
                  </w:pPr>
                  <w:r>
                    <w:rPr>
                      <w:rFonts w:hint="eastAsia"/>
                      <w:color w:val="auto"/>
                    </w:rPr>
                    <w:t>台</w:t>
                  </w:r>
                </w:p>
              </w:tc>
              <w:tc>
                <w:tcPr>
                  <w:tcW w:w="501" w:type="pct"/>
                  <w:tcBorders>
                    <w:tl2br w:val="nil"/>
                    <w:tr2bl w:val="nil"/>
                  </w:tcBorders>
                  <w:shd w:val="clear" w:color="auto" w:fill="auto"/>
                  <w:vAlign w:val="center"/>
                </w:tcPr>
                <w:p w14:paraId="1C94210F">
                  <w:pPr>
                    <w:pStyle w:val="33"/>
                    <w:bidi w:val="0"/>
                    <w:jc w:val="center"/>
                    <w:rPr>
                      <w:color w:val="auto"/>
                      <w:lang w:val="en-US" w:eastAsia="zh-CN"/>
                    </w:rPr>
                  </w:pPr>
                  <w:r>
                    <w:rPr>
                      <w:color w:val="auto"/>
                    </w:rPr>
                    <w:t>1</w:t>
                  </w:r>
                </w:p>
              </w:tc>
              <w:tc>
                <w:tcPr>
                  <w:tcW w:w="1522" w:type="pct"/>
                  <w:tcBorders>
                    <w:tl2br w:val="nil"/>
                    <w:tr2bl w:val="nil"/>
                  </w:tcBorders>
                  <w:shd w:val="clear" w:color="auto" w:fill="auto"/>
                  <w:vAlign w:val="center"/>
                </w:tcPr>
                <w:p w14:paraId="133808A5">
                  <w:pPr>
                    <w:pStyle w:val="33"/>
                    <w:bidi w:val="0"/>
                    <w:rPr>
                      <w:color w:val="auto"/>
                      <w:lang w:val="en-US" w:eastAsia="zh-CN"/>
                    </w:rPr>
                  </w:pPr>
                  <w:r>
                    <w:rPr>
                      <w:color w:val="auto"/>
                    </w:rPr>
                    <w:t>粉碎间</w:t>
                  </w:r>
                </w:p>
              </w:tc>
            </w:tr>
            <w:tr w14:paraId="0D3784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721D434D">
                  <w:pPr>
                    <w:pStyle w:val="33"/>
                    <w:bidi w:val="0"/>
                    <w:jc w:val="center"/>
                    <w:rPr>
                      <w:color w:val="auto"/>
                      <w:lang w:val="en-US" w:eastAsia="zh-CN"/>
                    </w:rPr>
                  </w:pPr>
                  <w:r>
                    <w:rPr>
                      <w:color w:val="auto"/>
                    </w:rPr>
                    <w:t>可编程脉冲控制仪</w:t>
                  </w:r>
                </w:p>
              </w:tc>
              <w:tc>
                <w:tcPr>
                  <w:tcW w:w="1299" w:type="pct"/>
                  <w:tcBorders>
                    <w:tl2br w:val="nil"/>
                    <w:tr2bl w:val="nil"/>
                  </w:tcBorders>
                  <w:shd w:val="clear" w:color="auto" w:fill="auto"/>
                  <w:vAlign w:val="center"/>
                </w:tcPr>
                <w:p w14:paraId="67ABCB72">
                  <w:pPr>
                    <w:pStyle w:val="33"/>
                    <w:bidi w:val="0"/>
                    <w:rPr>
                      <w:color w:val="auto"/>
                      <w:lang w:val="en-US" w:eastAsia="zh-CN"/>
                    </w:rPr>
                  </w:pPr>
                  <w:r>
                    <w:rPr>
                      <w:color w:val="auto"/>
                    </w:rPr>
                    <w:t>WGDZ-MCY-MB20</w:t>
                  </w:r>
                </w:p>
              </w:tc>
              <w:tc>
                <w:tcPr>
                  <w:tcW w:w="450" w:type="pct"/>
                  <w:tcBorders>
                    <w:tl2br w:val="nil"/>
                    <w:tr2bl w:val="nil"/>
                  </w:tcBorders>
                  <w:vAlign w:val="center"/>
                </w:tcPr>
                <w:p w14:paraId="44A8B299">
                  <w:pPr>
                    <w:pStyle w:val="33"/>
                    <w:rPr>
                      <w:color w:val="auto"/>
                    </w:rPr>
                  </w:pPr>
                  <w:r>
                    <w:rPr>
                      <w:rFonts w:hint="eastAsia"/>
                      <w:color w:val="auto"/>
                    </w:rPr>
                    <w:t>台</w:t>
                  </w:r>
                </w:p>
              </w:tc>
              <w:tc>
                <w:tcPr>
                  <w:tcW w:w="501" w:type="pct"/>
                  <w:tcBorders>
                    <w:tl2br w:val="nil"/>
                    <w:tr2bl w:val="nil"/>
                  </w:tcBorders>
                  <w:shd w:val="clear" w:color="auto" w:fill="auto"/>
                  <w:vAlign w:val="center"/>
                </w:tcPr>
                <w:p w14:paraId="16D87DC9">
                  <w:pPr>
                    <w:pStyle w:val="33"/>
                    <w:bidi w:val="0"/>
                    <w:jc w:val="center"/>
                    <w:rPr>
                      <w:color w:val="auto"/>
                      <w:lang w:val="en-US" w:eastAsia="zh-CN"/>
                    </w:rPr>
                  </w:pPr>
                  <w:r>
                    <w:rPr>
                      <w:color w:val="auto"/>
                    </w:rPr>
                    <w:t>1</w:t>
                  </w:r>
                </w:p>
              </w:tc>
              <w:tc>
                <w:tcPr>
                  <w:tcW w:w="1522" w:type="pct"/>
                  <w:tcBorders>
                    <w:tl2br w:val="nil"/>
                    <w:tr2bl w:val="nil"/>
                  </w:tcBorders>
                  <w:shd w:val="clear" w:color="auto" w:fill="auto"/>
                  <w:vAlign w:val="center"/>
                </w:tcPr>
                <w:p w14:paraId="607896A1">
                  <w:pPr>
                    <w:pStyle w:val="33"/>
                    <w:bidi w:val="0"/>
                    <w:rPr>
                      <w:color w:val="auto"/>
                      <w:lang w:val="en-US" w:eastAsia="zh-CN"/>
                    </w:rPr>
                  </w:pPr>
                  <w:r>
                    <w:rPr>
                      <w:color w:val="auto"/>
                    </w:rPr>
                    <w:t>粉碎间</w:t>
                  </w:r>
                </w:p>
              </w:tc>
            </w:tr>
            <w:tr w14:paraId="7F4BB2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25D62BC2">
                  <w:pPr>
                    <w:pStyle w:val="33"/>
                    <w:bidi w:val="0"/>
                    <w:jc w:val="center"/>
                    <w:rPr>
                      <w:color w:val="auto"/>
                      <w:lang w:val="en-US" w:eastAsia="zh-CN"/>
                    </w:rPr>
                  </w:pPr>
                  <w:r>
                    <w:rPr>
                      <w:color w:val="auto"/>
                    </w:rPr>
                    <w:t>鼓风机</w:t>
                  </w:r>
                </w:p>
              </w:tc>
              <w:tc>
                <w:tcPr>
                  <w:tcW w:w="1299" w:type="pct"/>
                  <w:tcBorders>
                    <w:tl2br w:val="nil"/>
                    <w:tr2bl w:val="nil"/>
                  </w:tcBorders>
                  <w:shd w:val="clear" w:color="auto" w:fill="auto"/>
                  <w:vAlign w:val="center"/>
                </w:tcPr>
                <w:p w14:paraId="2459658E">
                  <w:pPr>
                    <w:pStyle w:val="33"/>
                    <w:bidi w:val="0"/>
                    <w:rPr>
                      <w:color w:val="auto"/>
                      <w:lang w:val="en-US" w:eastAsia="zh-CN"/>
                    </w:rPr>
                  </w:pPr>
                  <w:r>
                    <w:rPr>
                      <w:color w:val="auto"/>
                    </w:rPr>
                    <w:t>9-19</w:t>
                  </w:r>
                </w:p>
              </w:tc>
              <w:tc>
                <w:tcPr>
                  <w:tcW w:w="450" w:type="pct"/>
                  <w:tcBorders>
                    <w:tl2br w:val="nil"/>
                    <w:tr2bl w:val="nil"/>
                  </w:tcBorders>
                  <w:vAlign w:val="center"/>
                </w:tcPr>
                <w:p w14:paraId="1499B548">
                  <w:pPr>
                    <w:pStyle w:val="33"/>
                    <w:rPr>
                      <w:color w:val="auto"/>
                    </w:rPr>
                  </w:pPr>
                  <w:r>
                    <w:rPr>
                      <w:rFonts w:hint="eastAsia"/>
                      <w:color w:val="auto"/>
                    </w:rPr>
                    <w:t>台</w:t>
                  </w:r>
                </w:p>
              </w:tc>
              <w:tc>
                <w:tcPr>
                  <w:tcW w:w="501" w:type="pct"/>
                  <w:tcBorders>
                    <w:tl2br w:val="nil"/>
                    <w:tr2bl w:val="nil"/>
                  </w:tcBorders>
                  <w:shd w:val="clear" w:color="auto" w:fill="auto"/>
                  <w:vAlign w:val="center"/>
                </w:tcPr>
                <w:p w14:paraId="67CC4393">
                  <w:pPr>
                    <w:pStyle w:val="33"/>
                    <w:bidi w:val="0"/>
                    <w:jc w:val="center"/>
                    <w:rPr>
                      <w:color w:val="auto"/>
                      <w:lang w:val="en-US" w:eastAsia="zh-CN"/>
                    </w:rPr>
                  </w:pPr>
                  <w:r>
                    <w:rPr>
                      <w:color w:val="auto"/>
                    </w:rPr>
                    <w:t>1</w:t>
                  </w:r>
                </w:p>
              </w:tc>
              <w:tc>
                <w:tcPr>
                  <w:tcW w:w="1522" w:type="pct"/>
                  <w:tcBorders>
                    <w:tl2br w:val="nil"/>
                    <w:tr2bl w:val="nil"/>
                  </w:tcBorders>
                  <w:shd w:val="clear" w:color="auto" w:fill="auto"/>
                  <w:vAlign w:val="center"/>
                </w:tcPr>
                <w:p w14:paraId="7274A0DA">
                  <w:pPr>
                    <w:pStyle w:val="33"/>
                    <w:bidi w:val="0"/>
                    <w:rPr>
                      <w:color w:val="auto"/>
                      <w:lang w:val="en-US" w:eastAsia="zh-CN"/>
                    </w:rPr>
                  </w:pPr>
                  <w:r>
                    <w:rPr>
                      <w:color w:val="auto"/>
                    </w:rPr>
                    <w:t>粉碎间</w:t>
                  </w:r>
                </w:p>
              </w:tc>
            </w:tr>
            <w:tr w14:paraId="1522C0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15FE2576">
                  <w:pPr>
                    <w:pStyle w:val="33"/>
                    <w:bidi w:val="0"/>
                    <w:jc w:val="center"/>
                    <w:rPr>
                      <w:color w:val="auto"/>
                      <w:lang w:val="en-US" w:eastAsia="zh-CN"/>
                    </w:rPr>
                  </w:pPr>
                  <w:r>
                    <w:rPr>
                      <w:color w:val="auto"/>
                    </w:rPr>
                    <w:t>立式高速混合机</w:t>
                  </w:r>
                </w:p>
              </w:tc>
              <w:tc>
                <w:tcPr>
                  <w:tcW w:w="1299" w:type="pct"/>
                  <w:tcBorders>
                    <w:tl2br w:val="nil"/>
                    <w:tr2bl w:val="nil"/>
                  </w:tcBorders>
                  <w:shd w:val="clear" w:color="auto" w:fill="auto"/>
                  <w:vAlign w:val="center"/>
                </w:tcPr>
                <w:p w14:paraId="51EFE89F">
                  <w:pPr>
                    <w:pStyle w:val="33"/>
                    <w:bidi w:val="0"/>
                    <w:rPr>
                      <w:color w:val="auto"/>
                      <w:lang w:val="en-US" w:eastAsia="zh-CN"/>
                    </w:rPr>
                  </w:pPr>
                  <w:r>
                    <w:rPr>
                      <w:color w:val="auto"/>
                    </w:rPr>
                    <w:t>1000L</w:t>
                  </w:r>
                </w:p>
              </w:tc>
              <w:tc>
                <w:tcPr>
                  <w:tcW w:w="450" w:type="pct"/>
                  <w:tcBorders>
                    <w:tl2br w:val="nil"/>
                    <w:tr2bl w:val="nil"/>
                  </w:tcBorders>
                  <w:vAlign w:val="center"/>
                </w:tcPr>
                <w:p w14:paraId="7BBC03E9">
                  <w:pPr>
                    <w:pStyle w:val="33"/>
                    <w:rPr>
                      <w:color w:val="auto"/>
                    </w:rPr>
                  </w:pPr>
                  <w:r>
                    <w:rPr>
                      <w:rFonts w:hint="eastAsia"/>
                      <w:color w:val="auto"/>
                    </w:rPr>
                    <w:t>台</w:t>
                  </w:r>
                </w:p>
              </w:tc>
              <w:tc>
                <w:tcPr>
                  <w:tcW w:w="501" w:type="pct"/>
                  <w:tcBorders>
                    <w:tl2br w:val="nil"/>
                    <w:tr2bl w:val="nil"/>
                  </w:tcBorders>
                  <w:shd w:val="clear" w:color="auto" w:fill="auto"/>
                  <w:vAlign w:val="center"/>
                </w:tcPr>
                <w:p w14:paraId="76EEEDEA">
                  <w:pPr>
                    <w:pStyle w:val="33"/>
                    <w:bidi w:val="0"/>
                    <w:jc w:val="center"/>
                    <w:rPr>
                      <w:color w:val="auto"/>
                      <w:lang w:val="en-US" w:eastAsia="zh-CN"/>
                    </w:rPr>
                  </w:pPr>
                  <w:r>
                    <w:rPr>
                      <w:color w:val="auto"/>
                    </w:rPr>
                    <w:t>1</w:t>
                  </w:r>
                </w:p>
              </w:tc>
              <w:tc>
                <w:tcPr>
                  <w:tcW w:w="1522" w:type="pct"/>
                  <w:tcBorders>
                    <w:tl2br w:val="nil"/>
                    <w:tr2bl w:val="nil"/>
                  </w:tcBorders>
                  <w:shd w:val="clear" w:color="auto" w:fill="auto"/>
                  <w:vAlign w:val="center"/>
                </w:tcPr>
                <w:p w14:paraId="349A0E48">
                  <w:pPr>
                    <w:pStyle w:val="33"/>
                    <w:bidi w:val="0"/>
                    <w:rPr>
                      <w:color w:val="auto"/>
                      <w:lang w:val="en-US" w:eastAsia="zh-CN"/>
                    </w:rPr>
                  </w:pPr>
                  <w:r>
                    <w:rPr>
                      <w:color w:val="auto"/>
                    </w:rPr>
                    <w:t>调配、混合间</w:t>
                  </w:r>
                </w:p>
              </w:tc>
            </w:tr>
            <w:tr w14:paraId="4963ED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714611CC">
                  <w:pPr>
                    <w:pStyle w:val="33"/>
                    <w:bidi w:val="0"/>
                    <w:jc w:val="center"/>
                    <w:rPr>
                      <w:color w:val="auto"/>
                      <w:lang w:val="en-US" w:eastAsia="zh-CN"/>
                    </w:rPr>
                  </w:pPr>
                  <w:r>
                    <w:rPr>
                      <w:color w:val="auto"/>
                    </w:rPr>
                    <w:t>反应釜</w:t>
                  </w:r>
                </w:p>
              </w:tc>
              <w:tc>
                <w:tcPr>
                  <w:tcW w:w="1299" w:type="pct"/>
                  <w:tcBorders>
                    <w:tl2br w:val="nil"/>
                    <w:tr2bl w:val="nil"/>
                  </w:tcBorders>
                  <w:shd w:val="clear" w:color="auto" w:fill="auto"/>
                  <w:vAlign w:val="center"/>
                </w:tcPr>
                <w:p w14:paraId="2825A95C">
                  <w:pPr>
                    <w:pStyle w:val="33"/>
                    <w:bidi w:val="0"/>
                    <w:rPr>
                      <w:color w:val="auto"/>
                      <w:lang w:val="en-US" w:eastAsia="zh-CN"/>
                    </w:rPr>
                  </w:pPr>
                  <w:r>
                    <w:rPr>
                      <w:color w:val="auto"/>
                    </w:rPr>
                    <w:t>1000L</w:t>
                  </w:r>
                </w:p>
              </w:tc>
              <w:tc>
                <w:tcPr>
                  <w:tcW w:w="450" w:type="pct"/>
                  <w:tcBorders>
                    <w:tl2br w:val="nil"/>
                    <w:tr2bl w:val="nil"/>
                  </w:tcBorders>
                  <w:vAlign w:val="center"/>
                </w:tcPr>
                <w:p w14:paraId="47DEF7C7">
                  <w:pPr>
                    <w:pStyle w:val="33"/>
                    <w:rPr>
                      <w:color w:val="auto"/>
                    </w:rPr>
                  </w:pPr>
                  <w:r>
                    <w:rPr>
                      <w:rFonts w:hint="eastAsia"/>
                      <w:color w:val="auto"/>
                    </w:rPr>
                    <w:t>台</w:t>
                  </w:r>
                </w:p>
              </w:tc>
              <w:tc>
                <w:tcPr>
                  <w:tcW w:w="501" w:type="pct"/>
                  <w:tcBorders>
                    <w:tl2br w:val="nil"/>
                    <w:tr2bl w:val="nil"/>
                  </w:tcBorders>
                  <w:shd w:val="clear" w:color="auto" w:fill="auto"/>
                  <w:vAlign w:val="center"/>
                </w:tcPr>
                <w:p w14:paraId="4FD46076">
                  <w:pPr>
                    <w:pStyle w:val="33"/>
                    <w:bidi w:val="0"/>
                    <w:jc w:val="center"/>
                    <w:rPr>
                      <w:color w:val="auto"/>
                      <w:lang w:val="en-US" w:eastAsia="zh-CN"/>
                    </w:rPr>
                  </w:pPr>
                  <w:r>
                    <w:rPr>
                      <w:color w:val="auto"/>
                    </w:rPr>
                    <w:t>1</w:t>
                  </w:r>
                </w:p>
              </w:tc>
              <w:tc>
                <w:tcPr>
                  <w:tcW w:w="1522" w:type="pct"/>
                  <w:tcBorders>
                    <w:tl2br w:val="nil"/>
                    <w:tr2bl w:val="nil"/>
                  </w:tcBorders>
                  <w:shd w:val="clear" w:color="auto" w:fill="auto"/>
                  <w:vAlign w:val="center"/>
                </w:tcPr>
                <w:p w14:paraId="19A0D04E">
                  <w:pPr>
                    <w:pStyle w:val="33"/>
                    <w:bidi w:val="0"/>
                    <w:rPr>
                      <w:color w:val="auto"/>
                      <w:lang w:val="en-US" w:eastAsia="zh-CN"/>
                    </w:rPr>
                  </w:pPr>
                  <w:r>
                    <w:rPr>
                      <w:color w:val="auto"/>
                    </w:rPr>
                    <w:t>调配、混合间</w:t>
                  </w:r>
                </w:p>
              </w:tc>
            </w:tr>
            <w:tr w14:paraId="104356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19904F9E">
                  <w:pPr>
                    <w:pStyle w:val="33"/>
                    <w:bidi w:val="0"/>
                    <w:jc w:val="center"/>
                    <w:rPr>
                      <w:color w:val="auto"/>
                      <w:lang w:val="en-US" w:eastAsia="zh-CN"/>
                    </w:rPr>
                  </w:pPr>
                  <w:r>
                    <w:rPr>
                      <w:color w:val="auto"/>
                    </w:rPr>
                    <w:t>制粒机</w:t>
                  </w:r>
                </w:p>
              </w:tc>
              <w:tc>
                <w:tcPr>
                  <w:tcW w:w="1299" w:type="pct"/>
                  <w:tcBorders>
                    <w:tl2br w:val="nil"/>
                    <w:tr2bl w:val="nil"/>
                  </w:tcBorders>
                  <w:shd w:val="clear" w:color="auto" w:fill="auto"/>
                  <w:vAlign w:val="center"/>
                </w:tcPr>
                <w:p w14:paraId="504B24CF">
                  <w:pPr>
                    <w:pStyle w:val="33"/>
                    <w:bidi w:val="0"/>
                    <w:rPr>
                      <w:color w:val="auto"/>
                      <w:lang w:val="en-US" w:eastAsia="zh-CN"/>
                    </w:rPr>
                  </w:pPr>
                  <w:r>
                    <w:rPr>
                      <w:color w:val="auto"/>
                    </w:rPr>
                    <w:t>—</w:t>
                  </w:r>
                </w:p>
              </w:tc>
              <w:tc>
                <w:tcPr>
                  <w:tcW w:w="450" w:type="pct"/>
                  <w:tcBorders>
                    <w:tl2br w:val="nil"/>
                    <w:tr2bl w:val="nil"/>
                  </w:tcBorders>
                  <w:vAlign w:val="center"/>
                </w:tcPr>
                <w:p w14:paraId="6DCFECD1">
                  <w:pPr>
                    <w:pStyle w:val="33"/>
                    <w:rPr>
                      <w:color w:val="auto"/>
                    </w:rPr>
                  </w:pPr>
                  <w:r>
                    <w:rPr>
                      <w:rFonts w:hint="eastAsia"/>
                      <w:color w:val="auto"/>
                    </w:rPr>
                    <w:t>台</w:t>
                  </w:r>
                </w:p>
              </w:tc>
              <w:tc>
                <w:tcPr>
                  <w:tcW w:w="501" w:type="pct"/>
                  <w:tcBorders>
                    <w:tl2br w:val="nil"/>
                    <w:tr2bl w:val="nil"/>
                  </w:tcBorders>
                  <w:shd w:val="clear" w:color="auto" w:fill="auto"/>
                  <w:vAlign w:val="center"/>
                </w:tcPr>
                <w:p w14:paraId="5CBD030A">
                  <w:pPr>
                    <w:pStyle w:val="33"/>
                    <w:bidi w:val="0"/>
                    <w:jc w:val="center"/>
                    <w:rPr>
                      <w:color w:val="auto"/>
                      <w:lang w:val="en-US" w:eastAsia="zh-CN"/>
                    </w:rPr>
                  </w:pPr>
                  <w:r>
                    <w:rPr>
                      <w:color w:val="auto"/>
                    </w:rPr>
                    <w:t>1</w:t>
                  </w:r>
                </w:p>
              </w:tc>
              <w:tc>
                <w:tcPr>
                  <w:tcW w:w="1522" w:type="pct"/>
                  <w:tcBorders>
                    <w:tl2br w:val="nil"/>
                    <w:tr2bl w:val="nil"/>
                  </w:tcBorders>
                  <w:shd w:val="clear" w:color="auto" w:fill="auto"/>
                  <w:vAlign w:val="center"/>
                </w:tcPr>
                <w:p w14:paraId="289FA9D7">
                  <w:pPr>
                    <w:pStyle w:val="33"/>
                    <w:bidi w:val="0"/>
                    <w:rPr>
                      <w:color w:val="auto"/>
                      <w:lang w:val="en-US" w:eastAsia="zh-CN"/>
                    </w:rPr>
                  </w:pPr>
                  <w:r>
                    <w:rPr>
                      <w:color w:val="auto"/>
                    </w:rPr>
                    <w:t>调配、混合间</w:t>
                  </w:r>
                </w:p>
              </w:tc>
            </w:tr>
            <w:tr w14:paraId="43DFEF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024BEC3C">
                  <w:pPr>
                    <w:pStyle w:val="33"/>
                    <w:bidi w:val="0"/>
                    <w:jc w:val="center"/>
                    <w:rPr>
                      <w:color w:val="auto"/>
                      <w:lang w:val="en-US" w:eastAsia="zh-CN"/>
                    </w:rPr>
                  </w:pPr>
                  <w:r>
                    <w:rPr>
                      <w:color w:val="auto"/>
                    </w:rPr>
                    <w:t>搅拌机</w:t>
                  </w:r>
                </w:p>
              </w:tc>
              <w:tc>
                <w:tcPr>
                  <w:tcW w:w="1299" w:type="pct"/>
                  <w:tcBorders>
                    <w:tl2br w:val="nil"/>
                    <w:tr2bl w:val="nil"/>
                  </w:tcBorders>
                  <w:shd w:val="clear" w:color="auto" w:fill="auto"/>
                  <w:vAlign w:val="center"/>
                </w:tcPr>
                <w:p w14:paraId="35B26EC6">
                  <w:pPr>
                    <w:pStyle w:val="33"/>
                    <w:bidi w:val="0"/>
                    <w:rPr>
                      <w:color w:val="auto"/>
                      <w:lang w:val="en-US" w:eastAsia="zh-CN"/>
                    </w:rPr>
                  </w:pPr>
                  <w:r>
                    <w:rPr>
                      <w:color w:val="auto"/>
                    </w:rPr>
                    <w:t>—</w:t>
                  </w:r>
                </w:p>
              </w:tc>
              <w:tc>
                <w:tcPr>
                  <w:tcW w:w="450" w:type="pct"/>
                  <w:tcBorders>
                    <w:tl2br w:val="nil"/>
                    <w:tr2bl w:val="nil"/>
                  </w:tcBorders>
                  <w:vAlign w:val="center"/>
                </w:tcPr>
                <w:p w14:paraId="19506585">
                  <w:pPr>
                    <w:pStyle w:val="33"/>
                    <w:rPr>
                      <w:color w:val="auto"/>
                    </w:rPr>
                  </w:pPr>
                  <w:r>
                    <w:rPr>
                      <w:rFonts w:hint="eastAsia"/>
                      <w:color w:val="auto"/>
                    </w:rPr>
                    <w:t>台</w:t>
                  </w:r>
                </w:p>
              </w:tc>
              <w:tc>
                <w:tcPr>
                  <w:tcW w:w="501" w:type="pct"/>
                  <w:tcBorders>
                    <w:tl2br w:val="nil"/>
                    <w:tr2bl w:val="nil"/>
                  </w:tcBorders>
                  <w:shd w:val="clear" w:color="auto" w:fill="auto"/>
                  <w:vAlign w:val="center"/>
                </w:tcPr>
                <w:p w14:paraId="3C5363A7">
                  <w:pPr>
                    <w:pStyle w:val="33"/>
                    <w:bidi w:val="0"/>
                    <w:jc w:val="center"/>
                    <w:rPr>
                      <w:color w:val="auto"/>
                      <w:lang w:val="en-US" w:eastAsia="zh-CN"/>
                    </w:rPr>
                  </w:pPr>
                  <w:r>
                    <w:rPr>
                      <w:color w:val="auto"/>
                    </w:rPr>
                    <w:t>2</w:t>
                  </w:r>
                </w:p>
              </w:tc>
              <w:tc>
                <w:tcPr>
                  <w:tcW w:w="1522" w:type="pct"/>
                  <w:tcBorders>
                    <w:tl2br w:val="nil"/>
                    <w:tr2bl w:val="nil"/>
                  </w:tcBorders>
                  <w:shd w:val="clear" w:color="auto" w:fill="auto"/>
                  <w:vAlign w:val="center"/>
                </w:tcPr>
                <w:p w14:paraId="5FB87EA8">
                  <w:pPr>
                    <w:pStyle w:val="33"/>
                    <w:bidi w:val="0"/>
                    <w:rPr>
                      <w:color w:val="auto"/>
                      <w:lang w:val="en-US" w:eastAsia="zh-CN"/>
                    </w:rPr>
                  </w:pPr>
                  <w:r>
                    <w:rPr>
                      <w:color w:val="auto"/>
                    </w:rPr>
                    <w:t>调配、混合间</w:t>
                  </w:r>
                </w:p>
              </w:tc>
            </w:tr>
            <w:tr w14:paraId="64AC1A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00E7DD75">
                  <w:pPr>
                    <w:pStyle w:val="33"/>
                    <w:bidi w:val="0"/>
                    <w:jc w:val="center"/>
                    <w:rPr>
                      <w:color w:val="auto"/>
                      <w:lang w:val="en-US" w:eastAsia="zh-CN"/>
                    </w:rPr>
                  </w:pPr>
                  <w:r>
                    <w:rPr>
                      <w:color w:val="auto"/>
                    </w:rPr>
                    <w:t>电子天平</w:t>
                  </w:r>
                </w:p>
              </w:tc>
              <w:tc>
                <w:tcPr>
                  <w:tcW w:w="1299" w:type="pct"/>
                  <w:tcBorders>
                    <w:tl2br w:val="nil"/>
                    <w:tr2bl w:val="nil"/>
                  </w:tcBorders>
                  <w:shd w:val="clear" w:color="auto" w:fill="auto"/>
                  <w:vAlign w:val="center"/>
                </w:tcPr>
                <w:p w14:paraId="5A277CE3">
                  <w:pPr>
                    <w:pStyle w:val="33"/>
                    <w:bidi w:val="0"/>
                    <w:rPr>
                      <w:color w:val="auto"/>
                      <w:lang w:val="en-US" w:eastAsia="zh-CN"/>
                    </w:rPr>
                  </w:pPr>
                  <w:r>
                    <w:rPr>
                      <w:color w:val="auto"/>
                    </w:rPr>
                    <w:t>ACS-30A</w:t>
                  </w:r>
                </w:p>
              </w:tc>
              <w:tc>
                <w:tcPr>
                  <w:tcW w:w="450" w:type="pct"/>
                  <w:tcBorders>
                    <w:tl2br w:val="nil"/>
                    <w:tr2bl w:val="nil"/>
                  </w:tcBorders>
                  <w:vAlign w:val="center"/>
                </w:tcPr>
                <w:p w14:paraId="37EEF0D3">
                  <w:pPr>
                    <w:pStyle w:val="33"/>
                    <w:rPr>
                      <w:color w:val="auto"/>
                    </w:rPr>
                  </w:pPr>
                  <w:r>
                    <w:rPr>
                      <w:rFonts w:hint="eastAsia"/>
                      <w:color w:val="auto"/>
                    </w:rPr>
                    <w:t>台</w:t>
                  </w:r>
                </w:p>
              </w:tc>
              <w:tc>
                <w:tcPr>
                  <w:tcW w:w="501" w:type="pct"/>
                  <w:tcBorders>
                    <w:tl2br w:val="nil"/>
                    <w:tr2bl w:val="nil"/>
                  </w:tcBorders>
                  <w:shd w:val="clear" w:color="auto" w:fill="auto"/>
                  <w:vAlign w:val="center"/>
                </w:tcPr>
                <w:p w14:paraId="6499A438">
                  <w:pPr>
                    <w:pStyle w:val="33"/>
                    <w:bidi w:val="0"/>
                    <w:jc w:val="center"/>
                    <w:rPr>
                      <w:color w:val="auto"/>
                      <w:lang w:val="en-US" w:eastAsia="zh-CN"/>
                    </w:rPr>
                  </w:pPr>
                  <w:r>
                    <w:rPr>
                      <w:color w:val="auto"/>
                    </w:rPr>
                    <w:t>1</w:t>
                  </w:r>
                </w:p>
              </w:tc>
              <w:tc>
                <w:tcPr>
                  <w:tcW w:w="1522" w:type="pct"/>
                  <w:tcBorders>
                    <w:tl2br w:val="nil"/>
                    <w:tr2bl w:val="nil"/>
                  </w:tcBorders>
                  <w:shd w:val="clear" w:color="auto" w:fill="auto"/>
                  <w:vAlign w:val="center"/>
                </w:tcPr>
                <w:p w14:paraId="62334A09">
                  <w:pPr>
                    <w:pStyle w:val="33"/>
                    <w:bidi w:val="0"/>
                    <w:rPr>
                      <w:color w:val="auto"/>
                      <w:lang w:val="en-US" w:eastAsia="zh-CN"/>
                    </w:rPr>
                  </w:pPr>
                  <w:r>
                    <w:rPr>
                      <w:color w:val="auto"/>
                    </w:rPr>
                    <w:t>调配、混合间</w:t>
                  </w:r>
                </w:p>
              </w:tc>
            </w:tr>
            <w:tr w14:paraId="00676D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6DF2D510">
                  <w:pPr>
                    <w:pStyle w:val="33"/>
                    <w:bidi w:val="0"/>
                    <w:jc w:val="center"/>
                    <w:rPr>
                      <w:rFonts w:hint="eastAsia"/>
                      <w:color w:val="auto"/>
                      <w:lang w:val="en-US" w:eastAsia="zh-CN"/>
                    </w:rPr>
                  </w:pPr>
                  <w:r>
                    <w:rPr>
                      <w:color w:val="auto"/>
                    </w:rPr>
                    <w:t>防水计重秤</w:t>
                  </w:r>
                </w:p>
              </w:tc>
              <w:tc>
                <w:tcPr>
                  <w:tcW w:w="1299" w:type="pct"/>
                  <w:tcBorders>
                    <w:tl2br w:val="nil"/>
                    <w:tr2bl w:val="nil"/>
                  </w:tcBorders>
                  <w:shd w:val="clear" w:color="auto" w:fill="auto"/>
                  <w:vAlign w:val="center"/>
                </w:tcPr>
                <w:p w14:paraId="6FF3F888">
                  <w:pPr>
                    <w:pStyle w:val="33"/>
                    <w:bidi w:val="0"/>
                    <w:rPr>
                      <w:rFonts w:hint="eastAsia"/>
                      <w:color w:val="auto"/>
                      <w:lang w:val="en-US" w:eastAsia="zh-CN"/>
                    </w:rPr>
                  </w:pPr>
                  <w:r>
                    <w:rPr>
                      <w:color w:val="auto"/>
                    </w:rPr>
                    <w:t>ACS-3-ZXO/W</w:t>
                  </w:r>
                </w:p>
              </w:tc>
              <w:tc>
                <w:tcPr>
                  <w:tcW w:w="450" w:type="pct"/>
                  <w:tcBorders>
                    <w:tl2br w:val="nil"/>
                    <w:tr2bl w:val="nil"/>
                  </w:tcBorders>
                  <w:vAlign w:val="center"/>
                </w:tcPr>
                <w:p w14:paraId="7BC6470D">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47567224">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1D7AC338">
                  <w:pPr>
                    <w:pStyle w:val="33"/>
                    <w:bidi w:val="0"/>
                    <w:rPr>
                      <w:rFonts w:hint="eastAsia"/>
                      <w:color w:val="auto"/>
                      <w:lang w:val="en-US" w:eastAsia="zh-CN"/>
                    </w:rPr>
                  </w:pPr>
                  <w:r>
                    <w:rPr>
                      <w:color w:val="auto"/>
                    </w:rPr>
                    <w:t>调配、混合间</w:t>
                  </w:r>
                </w:p>
              </w:tc>
            </w:tr>
            <w:tr w14:paraId="2B44C7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3E0CDB31">
                  <w:pPr>
                    <w:pStyle w:val="33"/>
                    <w:bidi w:val="0"/>
                    <w:jc w:val="center"/>
                    <w:rPr>
                      <w:rFonts w:hint="eastAsia"/>
                      <w:color w:val="auto"/>
                      <w:lang w:val="en-US" w:eastAsia="zh-CN"/>
                    </w:rPr>
                  </w:pPr>
                  <w:r>
                    <w:rPr>
                      <w:color w:val="auto"/>
                    </w:rPr>
                    <w:t>高效节能卤煮汤锅</w:t>
                  </w:r>
                </w:p>
              </w:tc>
              <w:tc>
                <w:tcPr>
                  <w:tcW w:w="1299" w:type="pct"/>
                  <w:tcBorders>
                    <w:tl2br w:val="nil"/>
                    <w:tr2bl w:val="nil"/>
                  </w:tcBorders>
                  <w:shd w:val="clear" w:color="auto" w:fill="auto"/>
                  <w:vAlign w:val="center"/>
                </w:tcPr>
                <w:p w14:paraId="4B7D8ACE">
                  <w:pPr>
                    <w:pStyle w:val="33"/>
                    <w:bidi w:val="0"/>
                    <w:rPr>
                      <w:rFonts w:hint="eastAsia"/>
                      <w:color w:val="auto"/>
                      <w:lang w:val="en-US" w:eastAsia="zh-CN"/>
                    </w:rPr>
                  </w:pPr>
                  <w:r>
                    <w:rPr>
                      <w:color w:val="auto"/>
                    </w:rPr>
                    <w:t>—</w:t>
                  </w:r>
                </w:p>
              </w:tc>
              <w:tc>
                <w:tcPr>
                  <w:tcW w:w="450" w:type="pct"/>
                  <w:tcBorders>
                    <w:tl2br w:val="nil"/>
                    <w:tr2bl w:val="nil"/>
                  </w:tcBorders>
                  <w:vAlign w:val="center"/>
                </w:tcPr>
                <w:p w14:paraId="7C70AE7F">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23268B52">
                  <w:pPr>
                    <w:pStyle w:val="33"/>
                    <w:bidi w:val="0"/>
                    <w:jc w:val="center"/>
                    <w:rPr>
                      <w:rFonts w:hint="eastAsia"/>
                      <w:color w:val="auto"/>
                      <w:lang w:val="en-US" w:eastAsia="zh-CN"/>
                    </w:rPr>
                  </w:pPr>
                  <w:r>
                    <w:rPr>
                      <w:color w:val="auto"/>
                    </w:rPr>
                    <w:t>2</w:t>
                  </w:r>
                </w:p>
              </w:tc>
              <w:tc>
                <w:tcPr>
                  <w:tcW w:w="1522" w:type="pct"/>
                  <w:tcBorders>
                    <w:tl2br w:val="nil"/>
                    <w:tr2bl w:val="nil"/>
                  </w:tcBorders>
                  <w:shd w:val="clear" w:color="auto" w:fill="auto"/>
                  <w:vAlign w:val="center"/>
                </w:tcPr>
                <w:p w14:paraId="05614C86">
                  <w:pPr>
                    <w:pStyle w:val="33"/>
                    <w:bidi w:val="0"/>
                    <w:rPr>
                      <w:rFonts w:hint="eastAsia"/>
                      <w:color w:val="auto"/>
                      <w:lang w:val="en-US" w:eastAsia="zh-CN"/>
                    </w:rPr>
                  </w:pPr>
                  <w:r>
                    <w:rPr>
                      <w:color w:val="auto"/>
                    </w:rPr>
                    <w:t>熟制间</w:t>
                  </w:r>
                </w:p>
              </w:tc>
            </w:tr>
            <w:tr w14:paraId="57FB0B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6CC4D3C5">
                  <w:pPr>
                    <w:pStyle w:val="33"/>
                    <w:bidi w:val="0"/>
                    <w:jc w:val="center"/>
                    <w:rPr>
                      <w:rFonts w:hint="eastAsia"/>
                      <w:color w:val="auto"/>
                      <w:lang w:val="en-US" w:eastAsia="zh-CN"/>
                    </w:rPr>
                  </w:pPr>
                  <w:r>
                    <w:rPr>
                      <w:color w:val="auto"/>
                    </w:rPr>
                    <w:t>夹层锅（行星炒锅）</w:t>
                  </w:r>
                </w:p>
              </w:tc>
              <w:tc>
                <w:tcPr>
                  <w:tcW w:w="1299" w:type="pct"/>
                  <w:tcBorders>
                    <w:tl2br w:val="nil"/>
                    <w:tr2bl w:val="nil"/>
                  </w:tcBorders>
                  <w:shd w:val="clear" w:color="auto" w:fill="auto"/>
                  <w:vAlign w:val="center"/>
                </w:tcPr>
                <w:p w14:paraId="089119D7">
                  <w:pPr>
                    <w:pStyle w:val="33"/>
                    <w:bidi w:val="0"/>
                    <w:rPr>
                      <w:rFonts w:hint="eastAsia"/>
                      <w:color w:val="auto"/>
                      <w:lang w:val="en-US" w:eastAsia="zh-CN"/>
                    </w:rPr>
                  </w:pPr>
                  <w:r>
                    <w:rPr>
                      <w:color w:val="auto"/>
                    </w:rPr>
                    <w:t>600L</w:t>
                  </w:r>
                </w:p>
              </w:tc>
              <w:tc>
                <w:tcPr>
                  <w:tcW w:w="450" w:type="pct"/>
                  <w:tcBorders>
                    <w:tl2br w:val="nil"/>
                    <w:tr2bl w:val="nil"/>
                  </w:tcBorders>
                  <w:vAlign w:val="center"/>
                </w:tcPr>
                <w:p w14:paraId="581ACE38">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1859758C">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6CD82565">
                  <w:pPr>
                    <w:pStyle w:val="33"/>
                    <w:bidi w:val="0"/>
                    <w:rPr>
                      <w:rFonts w:hint="eastAsia"/>
                      <w:color w:val="auto"/>
                      <w:lang w:val="en-US" w:eastAsia="zh-CN"/>
                    </w:rPr>
                  </w:pPr>
                  <w:r>
                    <w:rPr>
                      <w:color w:val="auto"/>
                    </w:rPr>
                    <w:t>熟制间</w:t>
                  </w:r>
                </w:p>
              </w:tc>
            </w:tr>
            <w:tr w14:paraId="61FD06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3A21E1E3">
                  <w:pPr>
                    <w:pStyle w:val="33"/>
                    <w:bidi w:val="0"/>
                    <w:jc w:val="center"/>
                    <w:rPr>
                      <w:rFonts w:hint="eastAsia"/>
                      <w:color w:val="auto"/>
                      <w:lang w:val="en-US" w:eastAsia="zh-CN"/>
                    </w:rPr>
                  </w:pPr>
                  <w:r>
                    <w:rPr>
                      <w:color w:val="auto"/>
                    </w:rPr>
                    <w:t>夹层锅</w:t>
                  </w:r>
                </w:p>
              </w:tc>
              <w:tc>
                <w:tcPr>
                  <w:tcW w:w="1299" w:type="pct"/>
                  <w:tcBorders>
                    <w:tl2br w:val="nil"/>
                    <w:tr2bl w:val="nil"/>
                  </w:tcBorders>
                  <w:shd w:val="clear" w:color="auto" w:fill="auto"/>
                  <w:vAlign w:val="center"/>
                </w:tcPr>
                <w:p w14:paraId="7C5E834F">
                  <w:pPr>
                    <w:pStyle w:val="33"/>
                    <w:bidi w:val="0"/>
                    <w:rPr>
                      <w:rFonts w:hint="eastAsia"/>
                      <w:color w:val="auto"/>
                      <w:lang w:val="en-US" w:eastAsia="zh-CN"/>
                    </w:rPr>
                  </w:pPr>
                  <w:r>
                    <w:rPr>
                      <w:color w:val="auto"/>
                    </w:rPr>
                    <w:t>—</w:t>
                  </w:r>
                </w:p>
              </w:tc>
              <w:tc>
                <w:tcPr>
                  <w:tcW w:w="450" w:type="pct"/>
                  <w:tcBorders>
                    <w:tl2br w:val="nil"/>
                    <w:tr2bl w:val="nil"/>
                  </w:tcBorders>
                  <w:vAlign w:val="center"/>
                </w:tcPr>
                <w:p w14:paraId="7D453618">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37B0EB04">
                  <w:pPr>
                    <w:pStyle w:val="33"/>
                    <w:bidi w:val="0"/>
                    <w:jc w:val="center"/>
                    <w:rPr>
                      <w:rFonts w:hint="eastAsia"/>
                      <w:color w:val="auto"/>
                      <w:lang w:val="en-US" w:eastAsia="zh-CN"/>
                    </w:rPr>
                  </w:pPr>
                  <w:r>
                    <w:rPr>
                      <w:color w:val="auto"/>
                    </w:rPr>
                    <w:t>2</w:t>
                  </w:r>
                </w:p>
              </w:tc>
              <w:tc>
                <w:tcPr>
                  <w:tcW w:w="1522" w:type="pct"/>
                  <w:tcBorders>
                    <w:tl2br w:val="nil"/>
                    <w:tr2bl w:val="nil"/>
                  </w:tcBorders>
                  <w:shd w:val="clear" w:color="auto" w:fill="auto"/>
                  <w:vAlign w:val="center"/>
                </w:tcPr>
                <w:p w14:paraId="62D1E386">
                  <w:pPr>
                    <w:pStyle w:val="33"/>
                    <w:bidi w:val="0"/>
                    <w:rPr>
                      <w:rFonts w:hint="eastAsia"/>
                      <w:color w:val="auto"/>
                      <w:lang w:val="en-US" w:eastAsia="zh-CN"/>
                    </w:rPr>
                  </w:pPr>
                  <w:r>
                    <w:rPr>
                      <w:color w:val="auto"/>
                    </w:rPr>
                    <w:t>熟制间</w:t>
                  </w:r>
                </w:p>
              </w:tc>
            </w:tr>
            <w:tr w14:paraId="0C3CEA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2AAD4811">
                  <w:pPr>
                    <w:pStyle w:val="33"/>
                    <w:bidi w:val="0"/>
                    <w:jc w:val="center"/>
                    <w:rPr>
                      <w:rFonts w:hint="eastAsia"/>
                      <w:color w:val="auto"/>
                      <w:lang w:val="en-US" w:eastAsia="zh-CN"/>
                    </w:rPr>
                  </w:pPr>
                  <w:r>
                    <w:rPr>
                      <w:color w:val="auto"/>
                    </w:rPr>
                    <w:t>蒸煮锅</w:t>
                  </w:r>
                </w:p>
              </w:tc>
              <w:tc>
                <w:tcPr>
                  <w:tcW w:w="1299" w:type="pct"/>
                  <w:tcBorders>
                    <w:tl2br w:val="nil"/>
                    <w:tr2bl w:val="nil"/>
                  </w:tcBorders>
                  <w:shd w:val="clear" w:color="auto" w:fill="auto"/>
                  <w:vAlign w:val="center"/>
                </w:tcPr>
                <w:p w14:paraId="585596AD">
                  <w:pPr>
                    <w:pStyle w:val="33"/>
                    <w:bidi w:val="0"/>
                    <w:rPr>
                      <w:rFonts w:hint="eastAsia"/>
                      <w:color w:val="auto"/>
                      <w:lang w:val="en-US" w:eastAsia="zh-CN"/>
                    </w:rPr>
                  </w:pPr>
                  <w:r>
                    <w:rPr>
                      <w:color w:val="auto"/>
                    </w:rPr>
                    <w:t>600L</w:t>
                  </w:r>
                </w:p>
              </w:tc>
              <w:tc>
                <w:tcPr>
                  <w:tcW w:w="450" w:type="pct"/>
                  <w:tcBorders>
                    <w:tl2br w:val="nil"/>
                    <w:tr2bl w:val="nil"/>
                  </w:tcBorders>
                  <w:vAlign w:val="center"/>
                </w:tcPr>
                <w:p w14:paraId="615259E0">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36596240">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5D490F56">
                  <w:pPr>
                    <w:pStyle w:val="33"/>
                    <w:bidi w:val="0"/>
                    <w:rPr>
                      <w:rFonts w:hint="eastAsia"/>
                      <w:color w:val="auto"/>
                      <w:lang w:val="en-US" w:eastAsia="zh-CN"/>
                    </w:rPr>
                  </w:pPr>
                  <w:r>
                    <w:rPr>
                      <w:color w:val="auto"/>
                    </w:rPr>
                    <w:t>熟制间</w:t>
                  </w:r>
                </w:p>
              </w:tc>
            </w:tr>
            <w:tr w14:paraId="67206E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4303996C">
                  <w:pPr>
                    <w:pStyle w:val="33"/>
                    <w:bidi w:val="0"/>
                    <w:jc w:val="center"/>
                    <w:rPr>
                      <w:rFonts w:hint="eastAsia"/>
                      <w:color w:val="auto"/>
                      <w:lang w:val="en-US" w:eastAsia="zh-CN"/>
                    </w:rPr>
                  </w:pPr>
                  <w:r>
                    <w:rPr>
                      <w:color w:val="auto"/>
                    </w:rPr>
                    <w:t>全自动炒锅</w:t>
                  </w:r>
                </w:p>
              </w:tc>
              <w:tc>
                <w:tcPr>
                  <w:tcW w:w="1299" w:type="pct"/>
                  <w:tcBorders>
                    <w:tl2br w:val="nil"/>
                    <w:tr2bl w:val="nil"/>
                  </w:tcBorders>
                  <w:shd w:val="clear" w:color="auto" w:fill="auto"/>
                  <w:vAlign w:val="center"/>
                </w:tcPr>
                <w:p w14:paraId="356701F1">
                  <w:pPr>
                    <w:pStyle w:val="33"/>
                    <w:bidi w:val="0"/>
                    <w:rPr>
                      <w:rFonts w:hint="eastAsia"/>
                      <w:color w:val="auto"/>
                      <w:lang w:val="en-US" w:eastAsia="zh-CN"/>
                    </w:rPr>
                  </w:pPr>
                  <w:r>
                    <w:rPr>
                      <w:color w:val="auto"/>
                    </w:rPr>
                    <w:t>800L</w:t>
                  </w:r>
                </w:p>
              </w:tc>
              <w:tc>
                <w:tcPr>
                  <w:tcW w:w="450" w:type="pct"/>
                  <w:tcBorders>
                    <w:tl2br w:val="nil"/>
                    <w:tr2bl w:val="nil"/>
                  </w:tcBorders>
                  <w:vAlign w:val="center"/>
                </w:tcPr>
                <w:p w14:paraId="4DE039F8">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0212A91F">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2A0B276D">
                  <w:pPr>
                    <w:pStyle w:val="33"/>
                    <w:bidi w:val="0"/>
                    <w:rPr>
                      <w:rFonts w:hint="eastAsia"/>
                      <w:color w:val="auto"/>
                      <w:lang w:val="en-US" w:eastAsia="zh-CN"/>
                    </w:rPr>
                  </w:pPr>
                  <w:r>
                    <w:rPr>
                      <w:color w:val="auto"/>
                    </w:rPr>
                    <w:t>熟制间</w:t>
                  </w:r>
                </w:p>
              </w:tc>
            </w:tr>
            <w:tr w14:paraId="781D30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6EE4F73A">
                  <w:pPr>
                    <w:pStyle w:val="33"/>
                    <w:bidi w:val="0"/>
                    <w:jc w:val="center"/>
                    <w:rPr>
                      <w:rFonts w:hint="eastAsia"/>
                      <w:color w:val="auto"/>
                      <w:lang w:val="en-US" w:eastAsia="zh-CN"/>
                    </w:rPr>
                  </w:pPr>
                  <w:r>
                    <w:rPr>
                      <w:color w:val="auto"/>
                    </w:rPr>
                    <w:t>不锈钢周转盆、桶</w:t>
                  </w:r>
                </w:p>
              </w:tc>
              <w:tc>
                <w:tcPr>
                  <w:tcW w:w="1299" w:type="pct"/>
                  <w:tcBorders>
                    <w:tl2br w:val="nil"/>
                    <w:tr2bl w:val="nil"/>
                  </w:tcBorders>
                  <w:shd w:val="clear" w:color="auto" w:fill="auto"/>
                  <w:vAlign w:val="center"/>
                </w:tcPr>
                <w:p w14:paraId="0B2FB83E">
                  <w:pPr>
                    <w:pStyle w:val="33"/>
                    <w:bidi w:val="0"/>
                    <w:rPr>
                      <w:rFonts w:hint="eastAsia"/>
                      <w:color w:val="auto"/>
                      <w:lang w:val="en-US" w:eastAsia="zh-CN"/>
                    </w:rPr>
                  </w:pPr>
                  <w:r>
                    <w:rPr>
                      <w:color w:val="auto"/>
                    </w:rPr>
                    <w:t>—</w:t>
                  </w:r>
                </w:p>
              </w:tc>
              <w:tc>
                <w:tcPr>
                  <w:tcW w:w="450" w:type="pct"/>
                  <w:tcBorders>
                    <w:tl2br w:val="nil"/>
                    <w:tr2bl w:val="nil"/>
                  </w:tcBorders>
                  <w:vAlign w:val="center"/>
                </w:tcPr>
                <w:p w14:paraId="7D51E76B">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7D766AF5">
                  <w:pPr>
                    <w:pStyle w:val="33"/>
                    <w:bidi w:val="0"/>
                    <w:jc w:val="center"/>
                    <w:rPr>
                      <w:rFonts w:hint="eastAsia"/>
                      <w:color w:val="auto"/>
                      <w:lang w:val="en-US" w:eastAsia="zh-CN"/>
                    </w:rPr>
                  </w:pPr>
                  <w:r>
                    <w:rPr>
                      <w:color w:val="auto"/>
                    </w:rPr>
                    <w:t>1组</w:t>
                  </w:r>
                </w:p>
              </w:tc>
              <w:tc>
                <w:tcPr>
                  <w:tcW w:w="1522" w:type="pct"/>
                  <w:tcBorders>
                    <w:tl2br w:val="nil"/>
                    <w:tr2bl w:val="nil"/>
                  </w:tcBorders>
                  <w:shd w:val="clear" w:color="auto" w:fill="auto"/>
                  <w:vAlign w:val="center"/>
                </w:tcPr>
                <w:p w14:paraId="76B6D358">
                  <w:pPr>
                    <w:pStyle w:val="33"/>
                    <w:bidi w:val="0"/>
                    <w:rPr>
                      <w:rFonts w:hint="eastAsia"/>
                      <w:color w:val="auto"/>
                      <w:lang w:val="en-US" w:eastAsia="zh-CN"/>
                    </w:rPr>
                  </w:pPr>
                  <w:r>
                    <w:rPr>
                      <w:color w:val="auto"/>
                    </w:rPr>
                    <w:t>冷却间</w:t>
                  </w:r>
                </w:p>
              </w:tc>
            </w:tr>
            <w:tr w14:paraId="5ACA79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28AB8874">
                  <w:pPr>
                    <w:pStyle w:val="33"/>
                    <w:bidi w:val="0"/>
                    <w:jc w:val="center"/>
                    <w:rPr>
                      <w:rFonts w:hint="eastAsia"/>
                      <w:color w:val="auto"/>
                      <w:lang w:val="en-US" w:eastAsia="zh-CN"/>
                    </w:rPr>
                  </w:pPr>
                  <w:r>
                    <w:rPr>
                      <w:color w:val="auto"/>
                    </w:rPr>
                    <w:t>移动搅拌车</w:t>
                  </w:r>
                </w:p>
              </w:tc>
              <w:tc>
                <w:tcPr>
                  <w:tcW w:w="1299" w:type="pct"/>
                  <w:tcBorders>
                    <w:tl2br w:val="nil"/>
                    <w:tr2bl w:val="nil"/>
                  </w:tcBorders>
                  <w:shd w:val="clear" w:color="auto" w:fill="auto"/>
                  <w:vAlign w:val="center"/>
                </w:tcPr>
                <w:p w14:paraId="34AB33DA">
                  <w:pPr>
                    <w:pStyle w:val="33"/>
                    <w:bidi w:val="0"/>
                    <w:rPr>
                      <w:rFonts w:hint="eastAsia"/>
                      <w:color w:val="auto"/>
                      <w:lang w:val="en-US" w:eastAsia="zh-CN"/>
                    </w:rPr>
                  </w:pPr>
                  <w:r>
                    <w:rPr>
                      <w:color w:val="auto"/>
                    </w:rPr>
                    <w:t>YB-JBC-800L</w:t>
                  </w:r>
                </w:p>
              </w:tc>
              <w:tc>
                <w:tcPr>
                  <w:tcW w:w="450" w:type="pct"/>
                  <w:tcBorders>
                    <w:tl2br w:val="nil"/>
                    <w:tr2bl w:val="nil"/>
                  </w:tcBorders>
                  <w:vAlign w:val="center"/>
                </w:tcPr>
                <w:p w14:paraId="613611F6">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4C9AE03A">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796CD9B2">
                  <w:pPr>
                    <w:pStyle w:val="33"/>
                    <w:bidi w:val="0"/>
                    <w:rPr>
                      <w:rFonts w:hint="eastAsia"/>
                      <w:color w:val="auto"/>
                      <w:lang w:val="en-US" w:eastAsia="zh-CN"/>
                    </w:rPr>
                  </w:pPr>
                  <w:r>
                    <w:rPr>
                      <w:color w:val="auto"/>
                    </w:rPr>
                    <w:t>冷却间</w:t>
                  </w:r>
                </w:p>
              </w:tc>
            </w:tr>
            <w:tr w14:paraId="45C05D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45438F2E">
                  <w:pPr>
                    <w:pStyle w:val="33"/>
                    <w:bidi w:val="0"/>
                    <w:jc w:val="center"/>
                    <w:rPr>
                      <w:rFonts w:hint="eastAsia"/>
                      <w:color w:val="auto"/>
                      <w:lang w:val="en-US" w:eastAsia="zh-CN"/>
                    </w:rPr>
                  </w:pPr>
                  <w:r>
                    <w:rPr>
                      <w:color w:val="auto"/>
                    </w:rPr>
                    <w:t>单头气动灌装机</w:t>
                  </w:r>
                </w:p>
              </w:tc>
              <w:tc>
                <w:tcPr>
                  <w:tcW w:w="1299" w:type="pct"/>
                  <w:tcBorders>
                    <w:tl2br w:val="nil"/>
                    <w:tr2bl w:val="nil"/>
                  </w:tcBorders>
                  <w:shd w:val="clear" w:color="auto" w:fill="auto"/>
                  <w:vAlign w:val="center"/>
                </w:tcPr>
                <w:p w14:paraId="0DB8144E">
                  <w:pPr>
                    <w:pStyle w:val="33"/>
                    <w:bidi w:val="0"/>
                    <w:rPr>
                      <w:rFonts w:hint="eastAsia"/>
                      <w:color w:val="auto"/>
                      <w:lang w:val="en-US" w:eastAsia="zh-CN"/>
                    </w:rPr>
                  </w:pPr>
                  <w:r>
                    <w:rPr>
                      <w:color w:val="auto"/>
                    </w:rPr>
                    <w:t>YB-PZ17-Q</w:t>
                  </w:r>
                </w:p>
              </w:tc>
              <w:tc>
                <w:tcPr>
                  <w:tcW w:w="450" w:type="pct"/>
                  <w:tcBorders>
                    <w:tl2br w:val="nil"/>
                    <w:tr2bl w:val="nil"/>
                  </w:tcBorders>
                  <w:vAlign w:val="center"/>
                </w:tcPr>
                <w:p w14:paraId="2DEFDF8E">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7871012A">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5E66E5AC">
                  <w:pPr>
                    <w:pStyle w:val="33"/>
                    <w:bidi w:val="0"/>
                    <w:rPr>
                      <w:rFonts w:hint="eastAsia"/>
                      <w:color w:val="auto"/>
                      <w:lang w:val="en-US" w:eastAsia="zh-CN"/>
                    </w:rPr>
                  </w:pPr>
                  <w:r>
                    <w:rPr>
                      <w:color w:val="auto"/>
                    </w:rPr>
                    <w:t>内包装间（汤、酱、醋、油）</w:t>
                  </w:r>
                </w:p>
              </w:tc>
            </w:tr>
            <w:tr w14:paraId="5D9A26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515E532F">
                  <w:pPr>
                    <w:pStyle w:val="33"/>
                    <w:bidi w:val="0"/>
                    <w:jc w:val="center"/>
                    <w:rPr>
                      <w:rFonts w:hint="eastAsia"/>
                      <w:color w:val="auto"/>
                      <w:lang w:val="en-US" w:eastAsia="zh-CN"/>
                    </w:rPr>
                  </w:pPr>
                  <w:r>
                    <w:rPr>
                      <w:color w:val="auto"/>
                    </w:rPr>
                    <w:t>灌装机</w:t>
                  </w:r>
                </w:p>
              </w:tc>
              <w:tc>
                <w:tcPr>
                  <w:tcW w:w="1299" w:type="pct"/>
                  <w:tcBorders>
                    <w:tl2br w:val="nil"/>
                    <w:tr2bl w:val="nil"/>
                  </w:tcBorders>
                  <w:shd w:val="clear" w:color="auto" w:fill="auto"/>
                  <w:vAlign w:val="center"/>
                </w:tcPr>
                <w:p w14:paraId="18A00366">
                  <w:pPr>
                    <w:pStyle w:val="33"/>
                    <w:bidi w:val="0"/>
                    <w:rPr>
                      <w:rFonts w:hint="eastAsia"/>
                      <w:color w:val="auto"/>
                      <w:lang w:val="en-US" w:eastAsia="zh-CN"/>
                    </w:rPr>
                  </w:pPr>
                  <w:r>
                    <w:rPr>
                      <w:color w:val="auto"/>
                    </w:rPr>
                    <w:t>—</w:t>
                  </w:r>
                </w:p>
              </w:tc>
              <w:tc>
                <w:tcPr>
                  <w:tcW w:w="450" w:type="pct"/>
                  <w:tcBorders>
                    <w:tl2br w:val="nil"/>
                    <w:tr2bl w:val="nil"/>
                  </w:tcBorders>
                  <w:vAlign w:val="center"/>
                </w:tcPr>
                <w:p w14:paraId="63C95806">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43ED7B1C">
                  <w:pPr>
                    <w:pStyle w:val="33"/>
                    <w:bidi w:val="0"/>
                    <w:jc w:val="center"/>
                    <w:rPr>
                      <w:rFonts w:hint="eastAsia"/>
                      <w:color w:val="auto"/>
                      <w:lang w:val="en-US" w:eastAsia="zh-CN"/>
                    </w:rPr>
                  </w:pPr>
                  <w:r>
                    <w:rPr>
                      <w:color w:val="auto"/>
                    </w:rPr>
                    <w:t>4</w:t>
                  </w:r>
                </w:p>
              </w:tc>
              <w:tc>
                <w:tcPr>
                  <w:tcW w:w="1522" w:type="pct"/>
                  <w:tcBorders>
                    <w:tl2br w:val="nil"/>
                    <w:tr2bl w:val="nil"/>
                  </w:tcBorders>
                  <w:shd w:val="clear" w:color="auto" w:fill="auto"/>
                  <w:vAlign w:val="center"/>
                </w:tcPr>
                <w:p w14:paraId="2CF44CFC">
                  <w:pPr>
                    <w:pStyle w:val="33"/>
                    <w:bidi w:val="0"/>
                    <w:rPr>
                      <w:rFonts w:hint="eastAsia"/>
                      <w:color w:val="auto"/>
                      <w:lang w:val="en-US" w:eastAsia="zh-CN"/>
                    </w:rPr>
                  </w:pPr>
                  <w:r>
                    <w:rPr>
                      <w:color w:val="auto"/>
                    </w:rPr>
                    <w:t>内包装间（汤、酱、醋、油）</w:t>
                  </w:r>
                </w:p>
              </w:tc>
            </w:tr>
            <w:tr w14:paraId="32B54B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394979B8">
                  <w:pPr>
                    <w:pStyle w:val="33"/>
                    <w:bidi w:val="0"/>
                    <w:jc w:val="center"/>
                    <w:rPr>
                      <w:rFonts w:hint="eastAsia"/>
                      <w:color w:val="auto"/>
                      <w:lang w:val="en-US" w:eastAsia="zh-CN"/>
                    </w:rPr>
                  </w:pPr>
                  <w:r>
                    <w:rPr>
                      <w:color w:val="auto"/>
                    </w:rPr>
                    <w:t>单头真空瓶盖机</w:t>
                  </w:r>
                </w:p>
              </w:tc>
              <w:tc>
                <w:tcPr>
                  <w:tcW w:w="1299" w:type="pct"/>
                  <w:tcBorders>
                    <w:tl2br w:val="nil"/>
                    <w:tr2bl w:val="nil"/>
                  </w:tcBorders>
                  <w:shd w:val="clear" w:color="auto" w:fill="auto"/>
                  <w:vAlign w:val="center"/>
                </w:tcPr>
                <w:p w14:paraId="60573C9A">
                  <w:pPr>
                    <w:pStyle w:val="33"/>
                    <w:bidi w:val="0"/>
                    <w:rPr>
                      <w:rFonts w:hint="eastAsia"/>
                      <w:color w:val="auto"/>
                      <w:lang w:val="en-US" w:eastAsia="zh-CN"/>
                    </w:rPr>
                  </w:pPr>
                  <w:r>
                    <w:rPr>
                      <w:color w:val="auto"/>
                    </w:rPr>
                    <w:t>YB-SC-ZKXG130A</w:t>
                  </w:r>
                </w:p>
              </w:tc>
              <w:tc>
                <w:tcPr>
                  <w:tcW w:w="450" w:type="pct"/>
                  <w:tcBorders>
                    <w:tl2br w:val="nil"/>
                    <w:tr2bl w:val="nil"/>
                  </w:tcBorders>
                  <w:vAlign w:val="center"/>
                </w:tcPr>
                <w:p w14:paraId="2E6D7F0A">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020BB5D8">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2EF3C329">
                  <w:pPr>
                    <w:pStyle w:val="33"/>
                    <w:bidi w:val="0"/>
                    <w:rPr>
                      <w:rFonts w:hint="eastAsia"/>
                      <w:color w:val="auto"/>
                      <w:lang w:val="en-US" w:eastAsia="zh-CN"/>
                    </w:rPr>
                  </w:pPr>
                  <w:r>
                    <w:rPr>
                      <w:color w:val="auto"/>
                    </w:rPr>
                    <w:t>内包装间（汤、酱、醋、油）</w:t>
                  </w:r>
                </w:p>
              </w:tc>
            </w:tr>
            <w:tr w14:paraId="217DC5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27FE409C">
                  <w:pPr>
                    <w:pStyle w:val="33"/>
                    <w:bidi w:val="0"/>
                    <w:jc w:val="center"/>
                    <w:rPr>
                      <w:rFonts w:hint="eastAsia"/>
                      <w:color w:val="auto"/>
                      <w:lang w:val="en-US" w:eastAsia="zh-CN"/>
                    </w:rPr>
                  </w:pPr>
                  <w:r>
                    <w:rPr>
                      <w:color w:val="auto"/>
                    </w:rPr>
                    <w:t>全自动圆瓶定点贴标机</w:t>
                  </w:r>
                </w:p>
              </w:tc>
              <w:tc>
                <w:tcPr>
                  <w:tcW w:w="1299" w:type="pct"/>
                  <w:tcBorders>
                    <w:tl2br w:val="nil"/>
                    <w:tr2bl w:val="nil"/>
                  </w:tcBorders>
                  <w:shd w:val="clear" w:color="auto" w:fill="auto"/>
                  <w:vAlign w:val="center"/>
                </w:tcPr>
                <w:p w14:paraId="68BF72BD">
                  <w:pPr>
                    <w:pStyle w:val="33"/>
                    <w:bidi w:val="0"/>
                    <w:rPr>
                      <w:rFonts w:hint="eastAsia"/>
                      <w:color w:val="auto"/>
                      <w:lang w:val="en-US" w:eastAsia="zh-CN"/>
                    </w:rPr>
                  </w:pPr>
                  <w:r>
                    <w:rPr>
                      <w:color w:val="auto"/>
                    </w:rPr>
                    <w:t>YB-D2510-S</w:t>
                  </w:r>
                </w:p>
              </w:tc>
              <w:tc>
                <w:tcPr>
                  <w:tcW w:w="450" w:type="pct"/>
                  <w:tcBorders>
                    <w:tl2br w:val="nil"/>
                    <w:tr2bl w:val="nil"/>
                  </w:tcBorders>
                  <w:vAlign w:val="center"/>
                </w:tcPr>
                <w:p w14:paraId="21943D30">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2444E181">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774FD6BA">
                  <w:pPr>
                    <w:pStyle w:val="33"/>
                    <w:bidi w:val="0"/>
                    <w:rPr>
                      <w:rFonts w:hint="eastAsia"/>
                      <w:color w:val="auto"/>
                      <w:lang w:val="en-US" w:eastAsia="zh-CN"/>
                    </w:rPr>
                  </w:pPr>
                  <w:r>
                    <w:rPr>
                      <w:color w:val="auto"/>
                    </w:rPr>
                    <w:t>内包装间（汤、酱、醋、油）</w:t>
                  </w:r>
                </w:p>
              </w:tc>
            </w:tr>
            <w:tr w14:paraId="08FA70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5EC60E5C">
                  <w:pPr>
                    <w:pStyle w:val="33"/>
                    <w:bidi w:val="0"/>
                    <w:jc w:val="center"/>
                    <w:rPr>
                      <w:rFonts w:hint="eastAsia"/>
                      <w:color w:val="auto"/>
                      <w:lang w:val="en-US" w:eastAsia="zh-CN"/>
                    </w:rPr>
                  </w:pPr>
                  <w:r>
                    <w:rPr>
                      <w:color w:val="auto"/>
                    </w:rPr>
                    <w:t>不锈钢泵</w:t>
                  </w:r>
                </w:p>
              </w:tc>
              <w:tc>
                <w:tcPr>
                  <w:tcW w:w="1299" w:type="pct"/>
                  <w:tcBorders>
                    <w:tl2br w:val="nil"/>
                    <w:tr2bl w:val="nil"/>
                  </w:tcBorders>
                  <w:shd w:val="clear" w:color="auto" w:fill="auto"/>
                  <w:vAlign w:val="center"/>
                </w:tcPr>
                <w:p w14:paraId="3FE28E7B">
                  <w:pPr>
                    <w:pStyle w:val="33"/>
                    <w:bidi w:val="0"/>
                    <w:rPr>
                      <w:rFonts w:hint="eastAsia"/>
                      <w:color w:val="auto"/>
                      <w:lang w:val="en-US" w:eastAsia="zh-CN"/>
                    </w:rPr>
                  </w:pPr>
                  <w:r>
                    <w:rPr>
                      <w:color w:val="auto"/>
                    </w:rPr>
                    <w:t>4KW</w:t>
                  </w:r>
                </w:p>
              </w:tc>
              <w:tc>
                <w:tcPr>
                  <w:tcW w:w="450" w:type="pct"/>
                  <w:tcBorders>
                    <w:tl2br w:val="nil"/>
                    <w:tr2bl w:val="nil"/>
                  </w:tcBorders>
                  <w:vAlign w:val="center"/>
                </w:tcPr>
                <w:p w14:paraId="00724098">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6F0A6545">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6C6FAAEE">
                  <w:pPr>
                    <w:pStyle w:val="33"/>
                    <w:bidi w:val="0"/>
                    <w:rPr>
                      <w:rFonts w:hint="eastAsia"/>
                      <w:color w:val="auto"/>
                      <w:lang w:val="en-US" w:eastAsia="zh-CN"/>
                    </w:rPr>
                  </w:pPr>
                  <w:r>
                    <w:rPr>
                      <w:color w:val="auto"/>
                    </w:rPr>
                    <w:t>内包装间（汤、酱、醋、油）</w:t>
                  </w:r>
                </w:p>
              </w:tc>
            </w:tr>
            <w:tr w14:paraId="3E1F4B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5ACF2934">
                  <w:pPr>
                    <w:pStyle w:val="33"/>
                    <w:bidi w:val="0"/>
                    <w:jc w:val="center"/>
                    <w:rPr>
                      <w:rFonts w:hint="eastAsia"/>
                      <w:color w:val="auto"/>
                      <w:lang w:val="en-US" w:eastAsia="zh-CN"/>
                    </w:rPr>
                  </w:pPr>
                  <w:r>
                    <w:rPr>
                      <w:color w:val="auto"/>
                    </w:rPr>
                    <w:t>半自动冲瓶机</w:t>
                  </w:r>
                </w:p>
              </w:tc>
              <w:tc>
                <w:tcPr>
                  <w:tcW w:w="1299" w:type="pct"/>
                  <w:tcBorders>
                    <w:tl2br w:val="nil"/>
                    <w:tr2bl w:val="nil"/>
                  </w:tcBorders>
                  <w:shd w:val="clear" w:color="auto" w:fill="auto"/>
                  <w:vAlign w:val="center"/>
                </w:tcPr>
                <w:p w14:paraId="315C9EF4">
                  <w:pPr>
                    <w:pStyle w:val="33"/>
                    <w:bidi w:val="0"/>
                    <w:rPr>
                      <w:rFonts w:hint="eastAsia"/>
                      <w:color w:val="auto"/>
                      <w:lang w:val="en-US" w:eastAsia="zh-CN"/>
                    </w:rPr>
                  </w:pPr>
                  <w:r>
                    <w:rPr>
                      <w:color w:val="auto"/>
                    </w:rPr>
                    <w:t>YB-CX-26</w:t>
                  </w:r>
                </w:p>
              </w:tc>
              <w:tc>
                <w:tcPr>
                  <w:tcW w:w="450" w:type="pct"/>
                  <w:tcBorders>
                    <w:tl2br w:val="nil"/>
                    <w:tr2bl w:val="nil"/>
                  </w:tcBorders>
                  <w:vAlign w:val="center"/>
                </w:tcPr>
                <w:p w14:paraId="529CF410">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405466C8">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391923A2">
                  <w:pPr>
                    <w:pStyle w:val="33"/>
                    <w:bidi w:val="0"/>
                    <w:rPr>
                      <w:rFonts w:hint="eastAsia"/>
                      <w:color w:val="auto"/>
                      <w:lang w:val="en-US" w:eastAsia="zh-CN"/>
                    </w:rPr>
                  </w:pPr>
                  <w:r>
                    <w:rPr>
                      <w:color w:val="auto"/>
                    </w:rPr>
                    <w:t>洗瓶间</w:t>
                  </w:r>
                </w:p>
              </w:tc>
            </w:tr>
            <w:tr w14:paraId="3A00B2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0C7840D5">
                  <w:pPr>
                    <w:pStyle w:val="33"/>
                    <w:bidi w:val="0"/>
                    <w:jc w:val="center"/>
                    <w:rPr>
                      <w:rFonts w:hint="eastAsia"/>
                      <w:color w:val="auto"/>
                      <w:lang w:val="en-US" w:eastAsia="zh-CN"/>
                    </w:rPr>
                  </w:pPr>
                  <w:r>
                    <w:rPr>
                      <w:color w:val="auto"/>
                    </w:rPr>
                    <w:t>烘干机</w:t>
                  </w:r>
                </w:p>
              </w:tc>
              <w:tc>
                <w:tcPr>
                  <w:tcW w:w="1299" w:type="pct"/>
                  <w:tcBorders>
                    <w:tl2br w:val="nil"/>
                    <w:tr2bl w:val="nil"/>
                  </w:tcBorders>
                  <w:shd w:val="clear" w:color="auto" w:fill="auto"/>
                  <w:vAlign w:val="center"/>
                </w:tcPr>
                <w:p w14:paraId="21B85D44">
                  <w:pPr>
                    <w:pStyle w:val="33"/>
                    <w:bidi w:val="0"/>
                    <w:rPr>
                      <w:rFonts w:hint="eastAsia"/>
                      <w:color w:val="auto"/>
                      <w:lang w:val="en-US" w:eastAsia="zh-CN"/>
                    </w:rPr>
                  </w:pPr>
                  <w:r>
                    <w:rPr>
                      <w:color w:val="auto"/>
                    </w:rPr>
                    <w:t>—</w:t>
                  </w:r>
                </w:p>
              </w:tc>
              <w:tc>
                <w:tcPr>
                  <w:tcW w:w="450" w:type="pct"/>
                  <w:tcBorders>
                    <w:tl2br w:val="nil"/>
                    <w:tr2bl w:val="nil"/>
                  </w:tcBorders>
                  <w:vAlign w:val="center"/>
                </w:tcPr>
                <w:p w14:paraId="471FD4DC">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349E6001">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490719EE">
                  <w:pPr>
                    <w:pStyle w:val="33"/>
                    <w:bidi w:val="0"/>
                    <w:rPr>
                      <w:rFonts w:hint="eastAsia"/>
                      <w:color w:val="auto"/>
                      <w:lang w:val="en-US" w:eastAsia="zh-CN"/>
                    </w:rPr>
                  </w:pPr>
                  <w:r>
                    <w:rPr>
                      <w:color w:val="auto"/>
                    </w:rPr>
                    <w:t>洗瓶间</w:t>
                  </w:r>
                </w:p>
              </w:tc>
            </w:tr>
            <w:tr w14:paraId="58D9DD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6A484998">
                  <w:pPr>
                    <w:pStyle w:val="33"/>
                    <w:bidi w:val="0"/>
                    <w:jc w:val="center"/>
                    <w:rPr>
                      <w:rFonts w:hint="eastAsia"/>
                      <w:color w:val="auto"/>
                      <w:lang w:val="en-US" w:eastAsia="zh-CN"/>
                    </w:rPr>
                  </w:pPr>
                  <w:r>
                    <w:rPr>
                      <w:color w:val="auto"/>
                    </w:rPr>
                    <w:t>消毒柜</w:t>
                  </w:r>
                </w:p>
              </w:tc>
              <w:tc>
                <w:tcPr>
                  <w:tcW w:w="1299" w:type="pct"/>
                  <w:tcBorders>
                    <w:tl2br w:val="nil"/>
                    <w:tr2bl w:val="nil"/>
                  </w:tcBorders>
                  <w:shd w:val="clear" w:color="auto" w:fill="auto"/>
                  <w:vAlign w:val="center"/>
                </w:tcPr>
                <w:p w14:paraId="1EF2BE36">
                  <w:pPr>
                    <w:pStyle w:val="33"/>
                    <w:bidi w:val="0"/>
                    <w:rPr>
                      <w:rFonts w:hint="eastAsia"/>
                      <w:color w:val="auto"/>
                      <w:lang w:val="en-US" w:eastAsia="zh-CN"/>
                    </w:rPr>
                  </w:pPr>
                  <w:r>
                    <w:rPr>
                      <w:color w:val="auto"/>
                    </w:rPr>
                    <w:t>—</w:t>
                  </w:r>
                </w:p>
              </w:tc>
              <w:tc>
                <w:tcPr>
                  <w:tcW w:w="450" w:type="pct"/>
                  <w:tcBorders>
                    <w:tl2br w:val="nil"/>
                    <w:tr2bl w:val="nil"/>
                  </w:tcBorders>
                  <w:vAlign w:val="center"/>
                </w:tcPr>
                <w:p w14:paraId="010C3E17">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5EC8A950">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02879AE4">
                  <w:pPr>
                    <w:pStyle w:val="33"/>
                    <w:bidi w:val="0"/>
                    <w:rPr>
                      <w:rFonts w:hint="eastAsia"/>
                      <w:color w:val="auto"/>
                      <w:lang w:val="en-US" w:eastAsia="zh-CN"/>
                    </w:rPr>
                  </w:pPr>
                  <w:r>
                    <w:rPr>
                      <w:color w:val="auto"/>
                    </w:rPr>
                    <w:t>洗瓶间</w:t>
                  </w:r>
                </w:p>
              </w:tc>
            </w:tr>
            <w:tr w14:paraId="0620F1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690E697E">
                  <w:pPr>
                    <w:pStyle w:val="33"/>
                    <w:bidi w:val="0"/>
                    <w:jc w:val="center"/>
                    <w:rPr>
                      <w:rFonts w:hint="eastAsia"/>
                      <w:color w:val="auto"/>
                      <w:lang w:val="en-US" w:eastAsia="zh-CN"/>
                    </w:rPr>
                  </w:pPr>
                  <w:r>
                    <w:rPr>
                      <w:color w:val="auto"/>
                    </w:rPr>
                    <w:t>全自动包装机</w:t>
                  </w:r>
                </w:p>
              </w:tc>
              <w:tc>
                <w:tcPr>
                  <w:tcW w:w="1299" w:type="pct"/>
                  <w:tcBorders>
                    <w:tl2br w:val="nil"/>
                    <w:tr2bl w:val="nil"/>
                  </w:tcBorders>
                  <w:shd w:val="clear" w:color="auto" w:fill="auto"/>
                  <w:vAlign w:val="center"/>
                </w:tcPr>
                <w:p w14:paraId="6A6A553A">
                  <w:pPr>
                    <w:pStyle w:val="33"/>
                    <w:bidi w:val="0"/>
                    <w:rPr>
                      <w:rFonts w:hint="eastAsia"/>
                      <w:color w:val="auto"/>
                      <w:lang w:val="en-US" w:eastAsia="zh-CN"/>
                    </w:rPr>
                  </w:pPr>
                  <w:r>
                    <w:rPr>
                      <w:color w:val="auto"/>
                    </w:rPr>
                    <w:t>HT-SGD250</w:t>
                  </w:r>
                </w:p>
              </w:tc>
              <w:tc>
                <w:tcPr>
                  <w:tcW w:w="450" w:type="pct"/>
                  <w:tcBorders>
                    <w:tl2br w:val="nil"/>
                    <w:tr2bl w:val="nil"/>
                  </w:tcBorders>
                  <w:vAlign w:val="center"/>
                </w:tcPr>
                <w:p w14:paraId="705103AD">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51EC17E4">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1E4027C6">
                  <w:pPr>
                    <w:pStyle w:val="33"/>
                    <w:bidi w:val="0"/>
                    <w:rPr>
                      <w:rFonts w:hint="eastAsia"/>
                      <w:color w:val="auto"/>
                      <w:lang w:val="en-US" w:eastAsia="zh-CN"/>
                    </w:rPr>
                  </w:pPr>
                  <w:r>
                    <w:rPr>
                      <w:color w:val="auto"/>
                    </w:rPr>
                    <w:t>内包装间（固体调味料）</w:t>
                  </w:r>
                </w:p>
              </w:tc>
            </w:tr>
            <w:tr w14:paraId="4D05DA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6015C09F">
                  <w:pPr>
                    <w:pStyle w:val="33"/>
                    <w:bidi w:val="0"/>
                    <w:jc w:val="center"/>
                    <w:rPr>
                      <w:rFonts w:hint="eastAsia"/>
                      <w:color w:val="auto"/>
                      <w:lang w:val="en-US" w:eastAsia="zh-CN"/>
                    </w:rPr>
                  </w:pPr>
                  <w:r>
                    <w:rPr>
                      <w:color w:val="auto"/>
                    </w:rPr>
                    <w:t>全自动包装机</w:t>
                  </w:r>
                </w:p>
              </w:tc>
              <w:tc>
                <w:tcPr>
                  <w:tcW w:w="1299" w:type="pct"/>
                  <w:tcBorders>
                    <w:tl2br w:val="nil"/>
                    <w:tr2bl w:val="nil"/>
                  </w:tcBorders>
                  <w:shd w:val="clear" w:color="auto" w:fill="auto"/>
                  <w:vAlign w:val="center"/>
                </w:tcPr>
                <w:p w14:paraId="18EC8490">
                  <w:pPr>
                    <w:pStyle w:val="33"/>
                    <w:bidi w:val="0"/>
                    <w:rPr>
                      <w:rFonts w:hint="eastAsia"/>
                      <w:color w:val="auto"/>
                      <w:lang w:val="en-US" w:eastAsia="zh-CN"/>
                    </w:rPr>
                  </w:pPr>
                  <w:r>
                    <w:rPr>
                      <w:color w:val="auto"/>
                    </w:rPr>
                    <w:t>HT-GD210Z</w:t>
                  </w:r>
                </w:p>
              </w:tc>
              <w:tc>
                <w:tcPr>
                  <w:tcW w:w="450" w:type="pct"/>
                  <w:tcBorders>
                    <w:tl2br w:val="nil"/>
                    <w:tr2bl w:val="nil"/>
                  </w:tcBorders>
                  <w:vAlign w:val="center"/>
                </w:tcPr>
                <w:p w14:paraId="0B188433">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40F10158">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24994B67">
                  <w:pPr>
                    <w:pStyle w:val="33"/>
                    <w:bidi w:val="0"/>
                    <w:rPr>
                      <w:rFonts w:hint="eastAsia"/>
                      <w:color w:val="auto"/>
                      <w:lang w:val="en-US" w:eastAsia="zh-CN"/>
                    </w:rPr>
                  </w:pPr>
                  <w:r>
                    <w:rPr>
                      <w:color w:val="auto"/>
                    </w:rPr>
                    <w:t>内包装间（固体调味料）</w:t>
                  </w:r>
                </w:p>
              </w:tc>
            </w:tr>
            <w:tr w14:paraId="29A4F0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6896688C">
                  <w:pPr>
                    <w:pStyle w:val="33"/>
                    <w:bidi w:val="0"/>
                    <w:jc w:val="center"/>
                    <w:rPr>
                      <w:rFonts w:hint="eastAsia"/>
                      <w:color w:val="auto"/>
                      <w:lang w:val="en-US" w:eastAsia="zh-CN"/>
                    </w:rPr>
                  </w:pPr>
                  <w:r>
                    <w:rPr>
                      <w:color w:val="auto"/>
                    </w:rPr>
                    <w:t>全自动包装机</w:t>
                  </w:r>
                </w:p>
              </w:tc>
              <w:tc>
                <w:tcPr>
                  <w:tcW w:w="1299" w:type="pct"/>
                  <w:tcBorders>
                    <w:tl2br w:val="nil"/>
                    <w:tr2bl w:val="nil"/>
                  </w:tcBorders>
                  <w:shd w:val="clear" w:color="auto" w:fill="auto"/>
                  <w:vAlign w:val="center"/>
                </w:tcPr>
                <w:p w14:paraId="795B6531">
                  <w:pPr>
                    <w:pStyle w:val="33"/>
                    <w:bidi w:val="0"/>
                    <w:rPr>
                      <w:rFonts w:hint="eastAsia"/>
                      <w:color w:val="auto"/>
                      <w:lang w:val="en-US" w:eastAsia="zh-CN"/>
                    </w:rPr>
                  </w:pPr>
                  <w:r>
                    <w:rPr>
                      <w:color w:val="auto"/>
                    </w:rPr>
                    <w:t>420</w:t>
                  </w:r>
                </w:p>
              </w:tc>
              <w:tc>
                <w:tcPr>
                  <w:tcW w:w="450" w:type="pct"/>
                  <w:tcBorders>
                    <w:tl2br w:val="nil"/>
                    <w:tr2bl w:val="nil"/>
                  </w:tcBorders>
                  <w:vAlign w:val="center"/>
                </w:tcPr>
                <w:p w14:paraId="17E8CB6A">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4B993B58">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1D02CBFE">
                  <w:pPr>
                    <w:pStyle w:val="33"/>
                    <w:bidi w:val="0"/>
                    <w:rPr>
                      <w:rFonts w:hint="eastAsia"/>
                      <w:color w:val="auto"/>
                      <w:lang w:val="en-US" w:eastAsia="zh-CN"/>
                    </w:rPr>
                  </w:pPr>
                  <w:r>
                    <w:rPr>
                      <w:color w:val="auto"/>
                    </w:rPr>
                    <w:t>内包装间（固体调味料）</w:t>
                  </w:r>
                </w:p>
              </w:tc>
            </w:tr>
            <w:tr w14:paraId="76E361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0CAD36B0">
                  <w:pPr>
                    <w:pStyle w:val="33"/>
                    <w:bidi w:val="0"/>
                    <w:jc w:val="center"/>
                    <w:rPr>
                      <w:rFonts w:hint="eastAsia"/>
                      <w:color w:val="auto"/>
                      <w:lang w:val="en-US" w:eastAsia="zh-CN"/>
                    </w:rPr>
                  </w:pPr>
                  <w:r>
                    <w:rPr>
                      <w:color w:val="auto"/>
                    </w:rPr>
                    <w:t>智能定位圆瓶贴标机</w:t>
                  </w:r>
                </w:p>
              </w:tc>
              <w:tc>
                <w:tcPr>
                  <w:tcW w:w="1299" w:type="pct"/>
                  <w:tcBorders>
                    <w:tl2br w:val="nil"/>
                    <w:tr2bl w:val="nil"/>
                  </w:tcBorders>
                  <w:shd w:val="clear" w:color="auto" w:fill="auto"/>
                  <w:vAlign w:val="center"/>
                </w:tcPr>
                <w:p w14:paraId="4FF16291">
                  <w:pPr>
                    <w:pStyle w:val="33"/>
                    <w:bidi w:val="0"/>
                    <w:rPr>
                      <w:rFonts w:hint="eastAsia"/>
                      <w:color w:val="auto"/>
                      <w:lang w:val="en-US" w:eastAsia="zh-CN"/>
                    </w:rPr>
                  </w:pPr>
                  <w:r>
                    <w:rPr>
                      <w:color w:val="auto"/>
                    </w:rPr>
                    <w:t>ZX-230LD</w:t>
                  </w:r>
                </w:p>
              </w:tc>
              <w:tc>
                <w:tcPr>
                  <w:tcW w:w="450" w:type="pct"/>
                  <w:tcBorders>
                    <w:tl2br w:val="nil"/>
                    <w:tr2bl w:val="nil"/>
                  </w:tcBorders>
                  <w:vAlign w:val="center"/>
                </w:tcPr>
                <w:p w14:paraId="0B8FDCA4">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3FDDDC14">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5F08C8EE">
                  <w:pPr>
                    <w:pStyle w:val="33"/>
                    <w:bidi w:val="0"/>
                    <w:rPr>
                      <w:rFonts w:hint="eastAsia"/>
                      <w:color w:val="auto"/>
                      <w:lang w:val="en-US" w:eastAsia="zh-CN"/>
                    </w:rPr>
                  </w:pPr>
                  <w:r>
                    <w:rPr>
                      <w:color w:val="auto"/>
                    </w:rPr>
                    <w:t>内包装间（固体调味料）</w:t>
                  </w:r>
                </w:p>
              </w:tc>
            </w:tr>
            <w:tr w14:paraId="7265A1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76D5120B">
                  <w:pPr>
                    <w:pStyle w:val="33"/>
                    <w:bidi w:val="0"/>
                    <w:jc w:val="center"/>
                    <w:rPr>
                      <w:rFonts w:hint="eastAsia"/>
                      <w:color w:val="auto"/>
                      <w:lang w:val="en-US" w:eastAsia="zh-CN"/>
                    </w:rPr>
                  </w:pPr>
                  <w:r>
                    <w:rPr>
                      <w:color w:val="auto"/>
                    </w:rPr>
                    <w:t>挑选台</w:t>
                  </w:r>
                </w:p>
              </w:tc>
              <w:tc>
                <w:tcPr>
                  <w:tcW w:w="1299" w:type="pct"/>
                  <w:tcBorders>
                    <w:tl2br w:val="nil"/>
                    <w:tr2bl w:val="nil"/>
                  </w:tcBorders>
                  <w:shd w:val="clear" w:color="auto" w:fill="auto"/>
                  <w:vAlign w:val="center"/>
                </w:tcPr>
                <w:p w14:paraId="319B45F9">
                  <w:pPr>
                    <w:pStyle w:val="33"/>
                    <w:bidi w:val="0"/>
                    <w:rPr>
                      <w:rFonts w:hint="eastAsia"/>
                      <w:color w:val="auto"/>
                      <w:lang w:val="en-US" w:eastAsia="zh-CN"/>
                    </w:rPr>
                  </w:pPr>
                  <w:r>
                    <w:rPr>
                      <w:color w:val="auto"/>
                    </w:rPr>
                    <w:t>—</w:t>
                  </w:r>
                </w:p>
              </w:tc>
              <w:tc>
                <w:tcPr>
                  <w:tcW w:w="450" w:type="pct"/>
                  <w:tcBorders>
                    <w:tl2br w:val="nil"/>
                    <w:tr2bl w:val="nil"/>
                  </w:tcBorders>
                  <w:vAlign w:val="center"/>
                </w:tcPr>
                <w:p w14:paraId="0902E69F">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752F72D0">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32CA3E0C">
                  <w:pPr>
                    <w:pStyle w:val="33"/>
                    <w:bidi w:val="0"/>
                    <w:rPr>
                      <w:rFonts w:hint="eastAsia"/>
                      <w:color w:val="auto"/>
                      <w:lang w:val="en-US" w:eastAsia="zh-CN"/>
                    </w:rPr>
                  </w:pPr>
                  <w:r>
                    <w:rPr>
                      <w:color w:val="auto"/>
                    </w:rPr>
                    <w:t>内包装间（固体调味料）</w:t>
                  </w:r>
                </w:p>
              </w:tc>
            </w:tr>
            <w:tr w14:paraId="27644A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4DF37E94">
                  <w:pPr>
                    <w:pStyle w:val="33"/>
                    <w:bidi w:val="0"/>
                    <w:jc w:val="center"/>
                    <w:rPr>
                      <w:rFonts w:hint="eastAsia"/>
                      <w:color w:val="auto"/>
                      <w:lang w:val="en-US" w:eastAsia="zh-CN"/>
                    </w:rPr>
                  </w:pPr>
                  <w:r>
                    <w:rPr>
                      <w:color w:val="auto"/>
                    </w:rPr>
                    <w:t>喷码机</w:t>
                  </w:r>
                </w:p>
              </w:tc>
              <w:tc>
                <w:tcPr>
                  <w:tcW w:w="1299" w:type="pct"/>
                  <w:tcBorders>
                    <w:tl2br w:val="nil"/>
                    <w:tr2bl w:val="nil"/>
                  </w:tcBorders>
                  <w:shd w:val="clear" w:color="auto" w:fill="auto"/>
                  <w:vAlign w:val="center"/>
                </w:tcPr>
                <w:p w14:paraId="4DEF6429">
                  <w:pPr>
                    <w:pStyle w:val="33"/>
                    <w:bidi w:val="0"/>
                    <w:rPr>
                      <w:rFonts w:hint="eastAsia"/>
                      <w:color w:val="auto"/>
                      <w:lang w:val="en-US" w:eastAsia="zh-CN"/>
                    </w:rPr>
                  </w:pPr>
                  <w:r>
                    <w:rPr>
                      <w:color w:val="auto"/>
                    </w:rPr>
                    <w:t>—</w:t>
                  </w:r>
                </w:p>
              </w:tc>
              <w:tc>
                <w:tcPr>
                  <w:tcW w:w="450" w:type="pct"/>
                  <w:tcBorders>
                    <w:tl2br w:val="nil"/>
                    <w:tr2bl w:val="nil"/>
                  </w:tcBorders>
                  <w:vAlign w:val="center"/>
                </w:tcPr>
                <w:p w14:paraId="6FC1B343">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18451C47">
                  <w:pPr>
                    <w:pStyle w:val="33"/>
                    <w:bidi w:val="0"/>
                    <w:jc w:val="center"/>
                    <w:rPr>
                      <w:rFonts w:hint="eastAsia"/>
                      <w:color w:val="auto"/>
                      <w:lang w:val="en-US" w:eastAsia="zh-CN"/>
                    </w:rPr>
                  </w:pPr>
                  <w:r>
                    <w:rPr>
                      <w:color w:val="auto"/>
                    </w:rPr>
                    <w:t>4</w:t>
                  </w:r>
                </w:p>
              </w:tc>
              <w:tc>
                <w:tcPr>
                  <w:tcW w:w="1522" w:type="pct"/>
                  <w:tcBorders>
                    <w:tl2br w:val="nil"/>
                    <w:tr2bl w:val="nil"/>
                  </w:tcBorders>
                  <w:shd w:val="clear" w:color="auto" w:fill="auto"/>
                  <w:vAlign w:val="center"/>
                </w:tcPr>
                <w:p w14:paraId="0E175313">
                  <w:pPr>
                    <w:pStyle w:val="33"/>
                    <w:bidi w:val="0"/>
                    <w:rPr>
                      <w:rFonts w:hint="eastAsia"/>
                      <w:color w:val="auto"/>
                      <w:lang w:val="en-US" w:eastAsia="zh-CN"/>
                    </w:rPr>
                  </w:pPr>
                  <w:r>
                    <w:rPr>
                      <w:color w:val="auto"/>
                    </w:rPr>
                    <w:t>外包装间</w:t>
                  </w:r>
                </w:p>
              </w:tc>
            </w:tr>
            <w:tr w14:paraId="567A91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315CC659">
                  <w:pPr>
                    <w:pStyle w:val="33"/>
                    <w:bidi w:val="0"/>
                    <w:jc w:val="center"/>
                    <w:rPr>
                      <w:rFonts w:hint="eastAsia"/>
                      <w:color w:val="auto"/>
                      <w:lang w:val="en-US" w:eastAsia="zh-CN"/>
                    </w:rPr>
                  </w:pPr>
                  <w:r>
                    <w:rPr>
                      <w:color w:val="auto"/>
                    </w:rPr>
                    <w:t>封口机</w:t>
                  </w:r>
                </w:p>
              </w:tc>
              <w:tc>
                <w:tcPr>
                  <w:tcW w:w="1299" w:type="pct"/>
                  <w:tcBorders>
                    <w:tl2br w:val="nil"/>
                    <w:tr2bl w:val="nil"/>
                  </w:tcBorders>
                  <w:shd w:val="clear" w:color="auto" w:fill="auto"/>
                  <w:vAlign w:val="center"/>
                </w:tcPr>
                <w:p w14:paraId="7413E2C3">
                  <w:pPr>
                    <w:pStyle w:val="33"/>
                    <w:bidi w:val="0"/>
                    <w:rPr>
                      <w:rFonts w:hint="eastAsia"/>
                      <w:color w:val="auto"/>
                      <w:lang w:val="en-US" w:eastAsia="zh-CN"/>
                    </w:rPr>
                  </w:pPr>
                  <w:r>
                    <w:rPr>
                      <w:color w:val="auto"/>
                    </w:rPr>
                    <w:t>—</w:t>
                  </w:r>
                </w:p>
              </w:tc>
              <w:tc>
                <w:tcPr>
                  <w:tcW w:w="450" w:type="pct"/>
                  <w:tcBorders>
                    <w:tl2br w:val="nil"/>
                    <w:tr2bl w:val="nil"/>
                  </w:tcBorders>
                  <w:vAlign w:val="center"/>
                </w:tcPr>
                <w:p w14:paraId="4E3219BC">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5544484D">
                  <w:pPr>
                    <w:pStyle w:val="33"/>
                    <w:bidi w:val="0"/>
                    <w:jc w:val="center"/>
                    <w:rPr>
                      <w:rFonts w:hint="eastAsia"/>
                      <w:color w:val="auto"/>
                      <w:lang w:val="en-US" w:eastAsia="zh-CN"/>
                    </w:rPr>
                  </w:pPr>
                  <w:r>
                    <w:rPr>
                      <w:color w:val="auto"/>
                    </w:rPr>
                    <w:t>3</w:t>
                  </w:r>
                </w:p>
              </w:tc>
              <w:tc>
                <w:tcPr>
                  <w:tcW w:w="1522" w:type="pct"/>
                  <w:tcBorders>
                    <w:tl2br w:val="nil"/>
                    <w:tr2bl w:val="nil"/>
                  </w:tcBorders>
                  <w:shd w:val="clear" w:color="auto" w:fill="auto"/>
                  <w:vAlign w:val="center"/>
                </w:tcPr>
                <w:p w14:paraId="0B793182">
                  <w:pPr>
                    <w:pStyle w:val="33"/>
                    <w:bidi w:val="0"/>
                    <w:rPr>
                      <w:rFonts w:hint="eastAsia"/>
                      <w:color w:val="auto"/>
                      <w:lang w:val="en-US" w:eastAsia="zh-CN"/>
                    </w:rPr>
                  </w:pPr>
                  <w:r>
                    <w:rPr>
                      <w:color w:val="auto"/>
                    </w:rPr>
                    <w:t>外包装间</w:t>
                  </w:r>
                </w:p>
              </w:tc>
            </w:tr>
            <w:tr w14:paraId="54445E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5F7F1D44">
                  <w:pPr>
                    <w:pStyle w:val="33"/>
                    <w:bidi w:val="0"/>
                    <w:jc w:val="center"/>
                    <w:rPr>
                      <w:rFonts w:hint="eastAsia"/>
                      <w:color w:val="auto"/>
                      <w:lang w:val="en-US" w:eastAsia="zh-CN"/>
                    </w:rPr>
                  </w:pPr>
                  <w:r>
                    <w:rPr>
                      <w:color w:val="auto"/>
                    </w:rPr>
                    <w:t>电子计价秤</w:t>
                  </w:r>
                </w:p>
              </w:tc>
              <w:tc>
                <w:tcPr>
                  <w:tcW w:w="1299" w:type="pct"/>
                  <w:tcBorders>
                    <w:tl2br w:val="nil"/>
                    <w:tr2bl w:val="nil"/>
                  </w:tcBorders>
                  <w:shd w:val="clear" w:color="auto" w:fill="auto"/>
                  <w:vAlign w:val="center"/>
                </w:tcPr>
                <w:p w14:paraId="0EFF00AF">
                  <w:pPr>
                    <w:pStyle w:val="33"/>
                    <w:bidi w:val="0"/>
                    <w:rPr>
                      <w:rFonts w:hint="eastAsia"/>
                      <w:color w:val="auto"/>
                      <w:lang w:val="en-US" w:eastAsia="zh-CN"/>
                    </w:rPr>
                  </w:pPr>
                  <w:r>
                    <w:rPr>
                      <w:color w:val="auto"/>
                    </w:rPr>
                    <w:t>—</w:t>
                  </w:r>
                </w:p>
              </w:tc>
              <w:tc>
                <w:tcPr>
                  <w:tcW w:w="450" w:type="pct"/>
                  <w:tcBorders>
                    <w:tl2br w:val="nil"/>
                    <w:tr2bl w:val="nil"/>
                  </w:tcBorders>
                  <w:vAlign w:val="center"/>
                </w:tcPr>
                <w:p w14:paraId="20D948DD">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347BA2A7">
                  <w:pPr>
                    <w:pStyle w:val="33"/>
                    <w:bidi w:val="0"/>
                    <w:jc w:val="center"/>
                    <w:rPr>
                      <w:rFonts w:hint="eastAsia"/>
                      <w:color w:val="auto"/>
                      <w:lang w:val="en-US" w:eastAsia="zh-CN"/>
                    </w:rPr>
                  </w:pPr>
                  <w:r>
                    <w:rPr>
                      <w:color w:val="auto"/>
                    </w:rPr>
                    <w:t>3</w:t>
                  </w:r>
                </w:p>
              </w:tc>
              <w:tc>
                <w:tcPr>
                  <w:tcW w:w="1522" w:type="pct"/>
                  <w:tcBorders>
                    <w:tl2br w:val="nil"/>
                    <w:tr2bl w:val="nil"/>
                  </w:tcBorders>
                  <w:shd w:val="clear" w:color="auto" w:fill="auto"/>
                  <w:vAlign w:val="center"/>
                </w:tcPr>
                <w:p w14:paraId="1884FCF6">
                  <w:pPr>
                    <w:pStyle w:val="33"/>
                    <w:bidi w:val="0"/>
                    <w:rPr>
                      <w:rFonts w:hint="eastAsia"/>
                      <w:color w:val="auto"/>
                      <w:lang w:val="en-US" w:eastAsia="zh-CN"/>
                    </w:rPr>
                  </w:pPr>
                  <w:r>
                    <w:rPr>
                      <w:color w:val="auto"/>
                    </w:rPr>
                    <w:t>外包装间</w:t>
                  </w:r>
                </w:p>
              </w:tc>
            </w:tr>
            <w:tr w14:paraId="4C5FA0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3215BE46">
                  <w:pPr>
                    <w:pStyle w:val="33"/>
                    <w:bidi w:val="0"/>
                    <w:jc w:val="center"/>
                    <w:rPr>
                      <w:rFonts w:hint="eastAsia"/>
                      <w:color w:val="auto"/>
                      <w:lang w:val="en-US" w:eastAsia="zh-CN"/>
                    </w:rPr>
                  </w:pPr>
                  <w:r>
                    <w:rPr>
                      <w:color w:val="auto"/>
                    </w:rPr>
                    <w:t>边封机</w:t>
                  </w:r>
                </w:p>
              </w:tc>
              <w:tc>
                <w:tcPr>
                  <w:tcW w:w="1299" w:type="pct"/>
                  <w:tcBorders>
                    <w:tl2br w:val="nil"/>
                    <w:tr2bl w:val="nil"/>
                  </w:tcBorders>
                  <w:shd w:val="clear" w:color="auto" w:fill="auto"/>
                  <w:vAlign w:val="center"/>
                </w:tcPr>
                <w:p w14:paraId="040E2FBE">
                  <w:pPr>
                    <w:pStyle w:val="33"/>
                    <w:bidi w:val="0"/>
                    <w:rPr>
                      <w:rFonts w:hint="eastAsia"/>
                      <w:color w:val="auto"/>
                      <w:lang w:val="en-US" w:eastAsia="zh-CN"/>
                    </w:rPr>
                  </w:pPr>
                  <w:r>
                    <w:rPr>
                      <w:color w:val="auto"/>
                    </w:rPr>
                    <w:t>BF450A</w:t>
                  </w:r>
                </w:p>
              </w:tc>
              <w:tc>
                <w:tcPr>
                  <w:tcW w:w="450" w:type="pct"/>
                  <w:tcBorders>
                    <w:tl2br w:val="nil"/>
                    <w:tr2bl w:val="nil"/>
                  </w:tcBorders>
                  <w:vAlign w:val="center"/>
                </w:tcPr>
                <w:p w14:paraId="2DE760E4">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527DED04">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5988248D">
                  <w:pPr>
                    <w:pStyle w:val="33"/>
                    <w:bidi w:val="0"/>
                    <w:rPr>
                      <w:rFonts w:hint="eastAsia"/>
                      <w:color w:val="auto"/>
                      <w:lang w:val="en-US" w:eastAsia="zh-CN"/>
                    </w:rPr>
                  </w:pPr>
                  <w:r>
                    <w:rPr>
                      <w:color w:val="auto"/>
                    </w:rPr>
                    <w:t>外包装间</w:t>
                  </w:r>
                </w:p>
              </w:tc>
            </w:tr>
            <w:tr w14:paraId="7AEE58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0B4DD734">
                  <w:pPr>
                    <w:pStyle w:val="33"/>
                    <w:bidi w:val="0"/>
                    <w:jc w:val="center"/>
                    <w:rPr>
                      <w:rFonts w:hint="eastAsia"/>
                      <w:color w:val="auto"/>
                      <w:lang w:val="en-US" w:eastAsia="zh-CN"/>
                    </w:rPr>
                  </w:pPr>
                  <w:r>
                    <w:rPr>
                      <w:color w:val="auto"/>
                    </w:rPr>
                    <w:t>热收缩包装机</w:t>
                  </w:r>
                </w:p>
              </w:tc>
              <w:tc>
                <w:tcPr>
                  <w:tcW w:w="1299" w:type="pct"/>
                  <w:tcBorders>
                    <w:tl2br w:val="nil"/>
                    <w:tr2bl w:val="nil"/>
                  </w:tcBorders>
                  <w:shd w:val="clear" w:color="auto" w:fill="auto"/>
                  <w:vAlign w:val="center"/>
                </w:tcPr>
                <w:p w14:paraId="342BCD8E">
                  <w:pPr>
                    <w:pStyle w:val="33"/>
                    <w:bidi w:val="0"/>
                    <w:rPr>
                      <w:rFonts w:hint="eastAsia"/>
                      <w:color w:val="auto"/>
                      <w:lang w:val="en-US" w:eastAsia="zh-CN"/>
                    </w:rPr>
                  </w:pPr>
                  <w:r>
                    <w:rPr>
                      <w:color w:val="auto"/>
                    </w:rPr>
                    <w:t>BS4525c</w:t>
                  </w:r>
                </w:p>
              </w:tc>
              <w:tc>
                <w:tcPr>
                  <w:tcW w:w="450" w:type="pct"/>
                  <w:tcBorders>
                    <w:tl2br w:val="nil"/>
                    <w:tr2bl w:val="nil"/>
                  </w:tcBorders>
                  <w:vAlign w:val="center"/>
                </w:tcPr>
                <w:p w14:paraId="07614F19">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6CF0CBE6">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6674E5A9">
                  <w:pPr>
                    <w:pStyle w:val="33"/>
                    <w:bidi w:val="0"/>
                    <w:rPr>
                      <w:rFonts w:hint="eastAsia"/>
                      <w:color w:val="auto"/>
                      <w:lang w:val="en-US" w:eastAsia="zh-CN"/>
                    </w:rPr>
                  </w:pPr>
                  <w:r>
                    <w:rPr>
                      <w:color w:val="auto"/>
                    </w:rPr>
                    <w:t>外包装间</w:t>
                  </w:r>
                </w:p>
              </w:tc>
            </w:tr>
            <w:tr w14:paraId="4CB4FB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3B59A1C6">
                  <w:pPr>
                    <w:pStyle w:val="33"/>
                    <w:bidi w:val="0"/>
                    <w:jc w:val="center"/>
                    <w:rPr>
                      <w:rFonts w:hint="eastAsia"/>
                      <w:color w:val="auto"/>
                      <w:lang w:val="en-US" w:eastAsia="zh-CN"/>
                    </w:rPr>
                  </w:pPr>
                  <w:r>
                    <w:rPr>
                      <w:color w:val="auto"/>
                    </w:rPr>
                    <w:t>消毒柜</w:t>
                  </w:r>
                </w:p>
              </w:tc>
              <w:tc>
                <w:tcPr>
                  <w:tcW w:w="1299" w:type="pct"/>
                  <w:tcBorders>
                    <w:tl2br w:val="nil"/>
                    <w:tr2bl w:val="nil"/>
                  </w:tcBorders>
                  <w:shd w:val="clear" w:color="auto" w:fill="auto"/>
                  <w:vAlign w:val="center"/>
                </w:tcPr>
                <w:p w14:paraId="511BB68A">
                  <w:pPr>
                    <w:pStyle w:val="33"/>
                    <w:bidi w:val="0"/>
                    <w:rPr>
                      <w:rFonts w:hint="eastAsia"/>
                      <w:color w:val="auto"/>
                      <w:lang w:val="en-US" w:eastAsia="zh-CN"/>
                    </w:rPr>
                  </w:pPr>
                  <w:r>
                    <w:rPr>
                      <w:color w:val="auto"/>
                    </w:rPr>
                    <w:t>—</w:t>
                  </w:r>
                </w:p>
              </w:tc>
              <w:tc>
                <w:tcPr>
                  <w:tcW w:w="450" w:type="pct"/>
                  <w:tcBorders>
                    <w:tl2br w:val="nil"/>
                    <w:tr2bl w:val="nil"/>
                  </w:tcBorders>
                  <w:vAlign w:val="center"/>
                </w:tcPr>
                <w:p w14:paraId="41AA7A49">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36A50725">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030FA6FD">
                  <w:pPr>
                    <w:pStyle w:val="33"/>
                    <w:bidi w:val="0"/>
                    <w:rPr>
                      <w:rFonts w:hint="eastAsia"/>
                      <w:color w:val="auto"/>
                      <w:lang w:val="en-US" w:eastAsia="zh-CN"/>
                    </w:rPr>
                  </w:pPr>
                  <w:r>
                    <w:rPr>
                      <w:color w:val="auto"/>
                    </w:rPr>
                    <w:t>更衣间</w:t>
                  </w:r>
                </w:p>
              </w:tc>
            </w:tr>
            <w:tr w14:paraId="114C6E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25" w:type="pct"/>
                  <w:tcBorders>
                    <w:tl2br w:val="nil"/>
                    <w:tr2bl w:val="nil"/>
                  </w:tcBorders>
                  <w:shd w:val="clear" w:color="auto" w:fill="auto"/>
                  <w:vAlign w:val="center"/>
                </w:tcPr>
                <w:p w14:paraId="28807711">
                  <w:pPr>
                    <w:pStyle w:val="33"/>
                    <w:bidi w:val="0"/>
                    <w:jc w:val="center"/>
                    <w:rPr>
                      <w:rFonts w:hint="eastAsia"/>
                      <w:color w:val="auto"/>
                      <w:lang w:val="en-US" w:eastAsia="zh-CN"/>
                    </w:rPr>
                  </w:pPr>
                  <w:r>
                    <w:rPr>
                      <w:color w:val="auto"/>
                    </w:rPr>
                    <w:t>冰柜</w:t>
                  </w:r>
                </w:p>
              </w:tc>
              <w:tc>
                <w:tcPr>
                  <w:tcW w:w="1299" w:type="pct"/>
                  <w:tcBorders>
                    <w:tl2br w:val="nil"/>
                    <w:tr2bl w:val="nil"/>
                  </w:tcBorders>
                  <w:shd w:val="clear" w:color="auto" w:fill="auto"/>
                  <w:vAlign w:val="center"/>
                </w:tcPr>
                <w:p w14:paraId="5282D6C1">
                  <w:pPr>
                    <w:pStyle w:val="33"/>
                    <w:bidi w:val="0"/>
                    <w:rPr>
                      <w:rFonts w:hint="eastAsia"/>
                      <w:color w:val="auto"/>
                      <w:lang w:val="en-US" w:eastAsia="zh-CN"/>
                    </w:rPr>
                  </w:pPr>
                  <w:r>
                    <w:rPr>
                      <w:color w:val="auto"/>
                    </w:rPr>
                    <w:t>—</w:t>
                  </w:r>
                </w:p>
              </w:tc>
              <w:tc>
                <w:tcPr>
                  <w:tcW w:w="450" w:type="pct"/>
                  <w:tcBorders>
                    <w:tl2br w:val="nil"/>
                    <w:tr2bl w:val="nil"/>
                  </w:tcBorders>
                  <w:vAlign w:val="center"/>
                </w:tcPr>
                <w:p w14:paraId="54C72024">
                  <w:pPr>
                    <w:pStyle w:val="33"/>
                    <w:rPr>
                      <w:rFonts w:hint="eastAsia" w:eastAsia="宋体"/>
                      <w:color w:val="auto"/>
                      <w:lang w:val="en-US" w:eastAsia="zh-CN"/>
                    </w:rPr>
                  </w:pPr>
                  <w:r>
                    <w:rPr>
                      <w:rFonts w:hint="eastAsia"/>
                      <w:color w:val="auto"/>
                      <w:lang w:val="en-US" w:eastAsia="zh-CN"/>
                    </w:rPr>
                    <w:t>/</w:t>
                  </w:r>
                </w:p>
              </w:tc>
              <w:tc>
                <w:tcPr>
                  <w:tcW w:w="501" w:type="pct"/>
                  <w:tcBorders>
                    <w:tl2br w:val="nil"/>
                    <w:tr2bl w:val="nil"/>
                  </w:tcBorders>
                  <w:shd w:val="clear" w:color="auto" w:fill="auto"/>
                  <w:vAlign w:val="center"/>
                </w:tcPr>
                <w:p w14:paraId="2C19C39D">
                  <w:pPr>
                    <w:pStyle w:val="33"/>
                    <w:bidi w:val="0"/>
                    <w:jc w:val="center"/>
                    <w:rPr>
                      <w:rFonts w:hint="eastAsia"/>
                      <w:color w:val="auto"/>
                      <w:lang w:val="en-US" w:eastAsia="zh-CN"/>
                    </w:rPr>
                  </w:pPr>
                  <w:r>
                    <w:rPr>
                      <w:color w:val="auto"/>
                    </w:rPr>
                    <w:t>1</w:t>
                  </w:r>
                </w:p>
              </w:tc>
              <w:tc>
                <w:tcPr>
                  <w:tcW w:w="1522" w:type="pct"/>
                  <w:tcBorders>
                    <w:tl2br w:val="nil"/>
                    <w:tr2bl w:val="nil"/>
                  </w:tcBorders>
                  <w:shd w:val="clear" w:color="auto" w:fill="auto"/>
                  <w:vAlign w:val="center"/>
                </w:tcPr>
                <w:p w14:paraId="746B4566">
                  <w:pPr>
                    <w:pStyle w:val="33"/>
                    <w:bidi w:val="0"/>
                    <w:rPr>
                      <w:rFonts w:hint="eastAsia"/>
                      <w:color w:val="auto"/>
                      <w:lang w:val="en-US" w:eastAsia="zh-CN"/>
                    </w:rPr>
                  </w:pPr>
                  <w:r>
                    <w:rPr>
                      <w:color w:val="auto"/>
                    </w:rPr>
                    <w:t>原料库</w:t>
                  </w:r>
                </w:p>
              </w:tc>
            </w:tr>
          </w:tbl>
          <w:p w14:paraId="39819B88">
            <w:pPr>
              <w:ind w:firstLine="482"/>
              <w:rPr>
                <w:color w:val="auto"/>
              </w:rPr>
            </w:pPr>
            <w:r>
              <w:rPr>
                <w:rFonts w:hint="eastAsia"/>
                <w:b/>
                <w:bCs/>
                <w:color w:val="auto"/>
              </w:rPr>
              <w:t>5、主要原辅材料</w:t>
            </w:r>
          </w:p>
          <w:p w14:paraId="3C3893FD">
            <w:pPr>
              <w:ind w:firstLine="480"/>
              <w:rPr>
                <w:color w:val="auto"/>
              </w:rPr>
            </w:pPr>
            <w:r>
              <w:rPr>
                <w:rFonts w:hint="eastAsia"/>
                <w:color w:val="auto"/>
              </w:rPr>
              <w:t>本项目主要原辅材料使用及消耗情况见下表2-3。</w:t>
            </w:r>
          </w:p>
          <w:p w14:paraId="619213BF">
            <w:pPr>
              <w:pStyle w:val="35"/>
              <w:rPr>
                <w:rFonts w:hint="default"/>
                <w:color w:val="auto"/>
              </w:rPr>
            </w:pPr>
            <w:r>
              <w:rPr>
                <w:color w:val="auto"/>
              </w:rPr>
              <w:t>表2-3 主要原辅材料一览表</w:t>
            </w:r>
          </w:p>
          <w:tbl>
            <w:tblPr>
              <w:tblStyle w:val="16"/>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4"/>
              <w:gridCol w:w="1532"/>
              <w:gridCol w:w="1416"/>
              <w:gridCol w:w="1244"/>
              <w:gridCol w:w="935"/>
              <w:gridCol w:w="2435"/>
            </w:tblGrid>
            <w:tr w14:paraId="12528F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3C0C6120">
                  <w:pPr>
                    <w:pStyle w:val="33"/>
                    <w:rPr>
                      <w:color w:val="auto"/>
                    </w:rPr>
                  </w:pPr>
                  <w:r>
                    <w:rPr>
                      <w:rFonts w:hint="eastAsia"/>
                      <w:color w:val="auto"/>
                    </w:rPr>
                    <w:t>序号</w:t>
                  </w:r>
                </w:p>
              </w:tc>
              <w:tc>
                <w:tcPr>
                  <w:tcW w:w="942" w:type="pct"/>
                  <w:tcBorders>
                    <w:tl2br w:val="nil"/>
                    <w:tr2bl w:val="nil"/>
                  </w:tcBorders>
                  <w:vAlign w:val="center"/>
                </w:tcPr>
                <w:p w14:paraId="41F6E131">
                  <w:pPr>
                    <w:pStyle w:val="33"/>
                    <w:rPr>
                      <w:color w:val="auto"/>
                    </w:rPr>
                  </w:pPr>
                  <w:r>
                    <w:rPr>
                      <w:rFonts w:hint="eastAsia"/>
                      <w:color w:val="auto"/>
                    </w:rPr>
                    <w:t>原辅料名称</w:t>
                  </w:r>
                </w:p>
              </w:tc>
              <w:tc>
                <w:tcPr>
                  <w:tcW w:w="871" w:type="pct"/>
                  <w:tcBorders>
                    <w:tl2br w:val="nil"/>
                    <w:tr2bl w:val="nil"/>
                  </w:tcBorders>
                  <w:vAlign w:val="center"/>
                </w:tcPr>
                <w:p w14:paraId="3729E31A">
                  <w:pPr>
                    <w:pStyle w:val="33"/>
                    <w:rPr>
                      <w:color w:val="auto"/>
                    </w:rPr>
                  </w:pPr>
                  <w:r>
                    <w:rPr>
                      <w:rFonts w:hint="eastAsia"/>
                      <w:color w:val="auto"/>
                    </w:rPr>
                    <w:t>年用量</w:t>
                  </w:r>
                </w:p>
              </w:tc>
              <w:tc>
                <w:tcPr>
                  <w:tcW w:w="765" w:type="pct"/>
                  <w:tcBorders>
                    <w:tl2br w:val="nil"/>
                    <w:tr2bl w:val="nil"/>
                  </w:tcBorders>
                  <w:vAlign w:val="center"/>
                </w:tcPr>
                <w:p w14:paraId="5CFA2F2A">
                  <w:pPr>
                    <w:pStyle w:val="33"/>
                    <w:rPr>
                      <w:color w:val="auto"/>
                    </w:rPr>
                  </w:pPr>
                  <w:r>
                    <w:rPr>
                      <w:rFonts w:hint="eastAsia"/>
                      <w:color w:val="auto"/>
                    </w:rPr>
                    <w:t>规格</w:t>
                  </w:r>
                </w:p>
              </w:tc>
              <w:tc>
                <w:tcPr>
                  <w:tcW w:w="575" w:type="pct"/>
                  <w:tcBorders>
                    <w:tl2br w:val="nil"/>
                    <w:tr2bl w:val="nil"/>
                  </w:tcBorders>
                  <w:vAlign w:val="center"/>
                </w:tcPr>
                <w:p w14:paraId="04F04C7B">
                  <w:pPr>
                    <w:pStyle w:val="33"/>
                    <w:rPr>
                      <w:color w:val="auto"/>
                    </w:rPr>
                  </w:pPr>
                  <w:r>
                    <w:rPr>
                      <w:rFonts w:hint="eastAsia"/>
                      <w:color w:val="auto"/>
                    </w:rPr>
                    <w:t>最大储存量</w:t>
                  </w:r>
                </w:p>
              </w:tc>
              <w:tc>
                <w:tcPr>
                  <w:tcW w:w="1498" w:type="pct"/>
                  <w:tcBorders>
                    <w:tl2br w:val="nil"/>
                    <w:tr2bl w:val="nil"/>
                  </w:tcBorders>
                  <w:vAlign w:val="center"/>
                </w:tcPr>
                <w:p w14:paraId="11B2C595">
                  <w:pPr>
                    <w:pStyle w:val="33"/>
                    <w:rPr>
                      <w:color w:val="auto"/>
                    </w:rPr>
                  </w:pPr>
                  <w:r>
                    <w:rPr>
                      <w:rFonts w:hint="eastAsia"/>
                      <w:color w:val="auto"/>
                    </w:rPr>
                    <w:t>储存方式</w:t>
                  </w:r>
                </w:p>
              </w:tc>
            </w:tr>
            <w:tr w14:paraId="5F14D2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347" w:type="pct"/>
                  <w:tcBorders>
                    <w:tl2br w:val="nil"/>
                    <w:tr2bl w:val="nil"/>
                  </w:tcBorders>
                  <w:vAlign w:val="center"/>
                </w:tcPr>
                <w:p w14:paraId="0462133F">
                  <w:pPr>
                    <w:pStyle w:val="33"/>
                    <w:rPr>
                      <w:color w:val="auto"/>
                    </w:rPr>
                  </w:pPr>
                  <w:r>
                    <w:rPr>
                      <w:rFonts w:hint="eastAsia"/>
                      <w:color w:val="auto"/>
                    </w:rPr>
                    <w:t>1</w:t>
                  </w:r>
                </w:p>
              </w:tc>
              <w:tc>
                <w:tcPr>
                  <w:tcW w:w="942" w:type="pct"/>
                  <w:tcBorders>
                    <w:tl2br w:val="nil"/>
                    <w:tr2bl w:val="nil"/>
                  </w:tcBorders>
                  <w:vAlign w:val="center"/>
                </w:tcPr>
                <w:p w14:paraId="4188FE7A">
                  <w:pPr>
                    <w:pStyle w:val="33"/>
                    <w:rPr>
                      <w:color w:val="auto"/>
                    </w:rPr>
                  </w:pPr>
                  <w:r>
                    <w:rPr>
                      <w:rFonts w:hint="eastAsia"/>
                      <w:color w:val="auto"/>
                    </w:rPr>
                    <w:t>食用盐</w:t>
                  </w:r>
                </w:p>
              </w:tc>
              <w:tc>
                <w:tcPr>
                  <w:tcW w:w="871" w:type="pct"/>
                  <w:tcBorders>
                    <w:tl2br w:val="nil"/>
                    <w:tr2bl w:val="nil"/>
                  </w:tcBorders>
                  <w:vAlign w:val="center"/>
                </w:tcPr>
                <w:p w14:paraId="3F9756B4">
                  <w:pPr>
                    <w:pStyle w:val="33"/>
                    <w:rPr>
                      <w:color w:val="auto"/>
                    </w:rPr>
                  </w:pPr>
                  <w:r>
                    <w:rPr>
                      <w:rFonts w:hint="eastAsia"/>
                      <w:color w:val="auto"/>
                    </w:rPr>
                    <w:t>3.9</w:t>
                  </w:r>
                  <w:r>
                    <w:rPr>
                      <w:rFonts w:hint="eastAsia"/>
                      <w:color w:val="auto"/>
                      <w:lang w:val="en-US" w:eastAsia="zh-CN"/>
                    </w:rPr>
                    <w:t>5</w:t>
                  </w:r>
                  <w:r>
                    <w:rPr>
                      <w:rFonts w:hint="eastAsia"/>
                      <w:color w:val="auto"/>
                    </w:rPr>
                    <w:t>t</w:t>
                  </w:r>
                  <w:r>
                    <w:rPr>
                      <w:color w:val="auto"/>
                    </w:rPr>
                    <w:t>/a</w:t>
                  </w:r>
                </w:p>
              </w:tc>
              <w:tc>
                <w:tcPr>
                  <w:tcW w:w="765" w:type="pct"/>
                  <w:tcBorders>
                    <w:tl2br w:val="nil"/>
                    <w:tr2bl w:val="nil"/>
                  </w:tcBorders>
                  <w:vAlign w:val="center"/>
                </w:tcPr>
                <w:p w14:paraId="2BE5FCB3">
                  <w:pPr>
                    <w:pStyle w:val="33"/>
                    <w:rPr>
                      <w:color w:val="auto"/>
                    </w:rPr>
                  </w:pPr>
                  <w:r>
                    <w:rPr>
                      <w:rFonts w:hint="eastAsia"/>
                      <w:color w:val="auto"/>
                    </w:rPr>
                    <w:t>25kg/袋</w:t>
                  </w:r>
                </w:p>
              </w:tc>
              <w:tc>
                <w:tcPr>
                  <w:tcW w:w="575" w:type="pct"/>
                  <w:tcBorders>
                    <w:tl2br w:val="nil"/>
                    <w:tr2bl w:val="nil"/>
                  </w:tcBorders>
                  <w:vAlign w:val="center"/>
                </w:tcPr>
                <w:p w14:paraId="311C398B">
                  <w:pPr>
                    <w:pStyle w:val="33"/>
                    <w:rPr>
                      <w:color w:val="auto"/>
                    </w:rPr>
                  </w:pPr>
                  <w:r>
                    <w:rPr>
                      <w:rFonts w:hint="eastAsia"/>
                      <w:color w:val="auto"/>
                    </w:rPr>
                    <w:t>0.5t</w:t>
                  </w:r>
                </w:p>
              </w:tc>
              <w:tc>
                <w:tcPr>
                  <w:tcW w:w="1498" w:type="pct"/>
                  <w:tcBorders>
                    <w:tl2br w:val="nil"/>
                    <w:tr2bl w:val="nil"/>
                  </w:tcBorders>
                  <w:vAlign w:val="center"/>
                </w:tcPr>
                <w:p w14:paraId="22D84D29">
                  <w:pPr>
                    <w:pStyle w:val="33"/>
                    <w:rPr>
                      <w:color w:val="auto"/>
                    </w:rPr>
                  </w:pPr>
                  <w:r>
                    <w:rPr>
                      <w:rFonts w:hint="eastAsia"/>
                      <w:color w:val="auto"/>
                    </w:rPr>
                    <w:t>袋装，原料库托盘存放</w:t>
                  </w:r>
                </w:p>
              </w:tc>
            </w:tr>
            <w:tr w14:paraId="336E19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3CD099C3">
                  <w:pPr>
                    <w:pStyle w:val="33"/>
                    <w:rPr>
                      <w:color w:val="auto"/>
                    </w:rPr>
                  </w:pPr>
                  <w:r>
                    <w:rPr>
                      <w:rFonts w:hint="eastAsia"/>
                      <w:color w:val="auto"/>
                    </w:rPr>
                    <w:t>2</w:t>
                  </w:r>
                </w:p>
              </w:tc>
              <w:tc>
                <w:tcPr>
                  <w:tcW w:w="942" w:type="pct"/>
                  <w:tcBorders>
                    <w:tl2br w:val="nil"/>
                    <w:tr2bl w:val="nil"/>
                  </w:tcBorders>
                  <w:vAlign w:val="center"/>
                </w:tcPr>
                <w:p w14:paraId="29A7A043">
                  <w:pPr>
                    <w:pStyle w:val="33"/>
                    <w:rPr>
                      <w:color w:val="auto"/>
                    </w:rPr>
                  </w:pPr>
                  <w:r>
                    <w:rPr>
                      <w:rFonts w:hint="eastAsia"/>
                      <w:color w:val="auto"/>
                    </w:rPr>
                    <w:t>食用植物油</w:t>
                  </w:r>
                </w:p>
              </w:tc>
              <w:tc>
                <w:tcPr>
                  <w:tcW w:w="871" w:type="pct"/>
                  <w:tcBorders>
                    <w:tl2br w:val="nil"/>
                    <w:tr2bl w:val="nil"/>
                  </w:tcBorders>
                  <w:vAlign w:val="center"/>
                </w:tcPr>
                <w:p w14:paraId="1EBBFCB0">
                  <w:pPr>
                    <w:pStyle w:val="33"/>
                    <w:rPr>
                      <w:color w:val="auto"/>
                    </w:rPr>
                  </w:pPr>
                  <w:r>
                    <w:rPr>
                      <w:rFonts w:hint="eastAsia"/>
                      <w:color w:val="auto"/>
                    </w:rPr>
                    <w:t>8.6t</w:t>
                  </w:r>
                  <w:r>
                    <w:rPr>
                      <w:color w:val="auto"/>
                    </w:rPr>
                    <w:t>/a</w:t>
                  </w:r>
                </w:p>
              </w:tc>
              <w:tc>
                <w:tcPr>
                  <w:tcW w:w="765" w:type="pct"/>
                  <w:tcBorders>
                    <w:tl2br w:val="nil"/>
                    <w:tr2bl w:val="nil"/>
                  </w:tcBorders>
                  <w:vAlign w:val="center"/>
                </w:tcPr>
                <w:p w14:paraId="2CD9B751">
                  <w:pPr>
                    <w:pStyle w:val="33"/>
                    <w:rPr>
                      <w:color w:val="auto"/>
                    </w:rPr>
                  </w:pPr>
                  <w:r>
                    <w:rPr>
                      <w:rFonts w:hint="eastAsia"/>
                      <w:color w:val="auto"/>
                    </w:rPr>
                    <w:t>20L/桶</w:t>
                  </w:r>
                </w:p>
              </w:tc>
              <w:tc>
                <w:tcPr>
                  <w:tcW w:w="575" w:type="pct"/>
                  <w:tcBorders>
                    <w:tl2br w:val="nil"/>
                    <w:tr2bl w:val="nil"/>
                  </w:tcBorders>
                  <w:vAlign w:val="center"/>
                </w:tcPr>
                <w:p w14:paraId="375A6DED">
                  <w:pPr>
                    <w:pStyle w:val="33"/>
                    <w:rPr>
                      <w:color w:val="auto"/>
                    </w:rPr>
                  </w:pPr>
                  <w:r>
                    <w:rPr>
                      <w:rFonts w:hint="eastAsia"/>
                      <w:color w:val="auto"/>
                    </w:rPr>
                    <w:t>1.0t</w:t>
                  </w:r>
                </w:p>
              </w:tc>
              <w:tc>
                <w:tcPr>
                  <w:tcW w:w="1498" w:type="pct"/>
                  <w:tcBorders>
                    <w:tl2br w:val="nil"/>
                    <w:tr2bl w:val="nil"/>
                  </w:tcBorders>
                  <w:vAlign w:val="center"/>
                </w:tcPr>
                <w:p w14:paraId="2337EC39">
                  <w:pPr>
                    <w:pStyle w:val="33"/>
                    <w:rPr>
                      <w:color w:val="auto"/>
                    </w:rPr>
                  </w:pPr>
                  <w:r>
                    <w:rPr>
                      <w:rFonts w:hint="eastAsia"/>
                      <w:color w:val="auto"/>
                    </w:rPr>
                    <w:t>食品级桶装，密闭存放</w:t>
                  </w:r>
                </w:p>
              </w:tc>
            </w:tr>
            <w:tr w14:paraId="1A2334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7" w:type="pct"/>
                  <w:tcBorders>
                    <w:tl2br w:val="nil"/>
                    <w:tr2bl w:val="nil"/>
                  </w:tcBorders>
                  <w:vAlign w:val="center"/>
                </w:tcPr>
                <w:p w14:paraId="21CF78F3">
                  <w:pPr>
                    <w:pStyle w:val="33"/>
                    <w:rPr>
                      <w:color w:val="auto"/>
                    </w:rPr>
                  </w:pPr>
                  <w:r>
                    <w:rPr>
                      <w:rFonts w:hint="eastAsia"/>
                      <w:color w:val="auto"/>
                    </w:rPr>
                    <w:t>3</w:t>
                  </w:r>
                </w:p>
              </w:tc>
              <w:tc>
                <w:tcPr>
                  <w:tcW w:w="942" w:type="pct"/>
                  <w:tcBorders>
                    <w:tl2br w:val="nil"/>
                    <w:tr2bl w:val="nil"/>
                  </w:tcBorders>
                  <w:vAlign w:val="center"/>
                </w:tcPr>
                <w:p w14:paraId="2F5FC14B">
                  <w:pPr>
                    <w:pStyle w:val="33"/>
                    <w:rPr>
                      <w:color w:val="auto"/>
                    </w:rPr>
                  </w:pPr>
                  <w:r>
                    <w:rPr>
                      <w:rFonts w:hint="eastAsia"/>
                      <w:color w:val="auto"/>
                    </w:rPr>
                    <w:t>味精</w:t>
                  </w:r>
                </w:p>
              </w:tc>
              <w:tc>
                <w:tcPr>
                  <w:tcW w:w="871" w:type="pct"/>
                  <w:tcBorders>
                    <w:tl2br w:val="nil"/>
                    <w:tr2bl w:val="nil"/>
                  </w:tcBorders>
                  <w:vAlign w:val="center"/>
                </w:tcPr>
                <w:p w14:paraId="07872ADF">
                  <w:pPr>
                    <w:pStyle w:val="33"/>
                    <w:rPr>
                      <w:color w:val="auto"/>
                    </w:rPr>
                  </w:pPr>
                  <w:r>
                    <w:rPr>
                      <w:rFonts w:hint="eastAsia"/>
                      <w:color w:val="auto"/>
                    </w:rPr>
                    <w:t>2.7t</w:t>
                  </w:r>
                  <w:r>
                    <w:rPr>
                      <w:color w:val="auto"/>
                    </w:rPr>
                    <w:t>/a</w:t>
                  </w:r>
                </w:p>
              </w:tc>
              <w:tc>
                <w:tcPr>
                  <w:tcW w:w="765" w:type="pct"/>
                  <w:tcBorders>
                    <w:tl2br w:val="nil"/>
                    <w:tr2bl w:val="nil"/>
                  </w:tcBorders>
                  <w:vAlign w:val="center"/>
                </w:tcPr>
                <w:p w14:paraId="67847192">
                  <w:pPr>
                    <w:pStyle w:val="33"/>
                    <w:rPr>
                      <w:color w:val="auto"/>
                    </w:rPr>
                  </w:pPr>
                  <w:r>
                    <w:rPr>
                      <w:rFonts w:hint="eastAsia"/>
                      <w:color w:val="auto"/>
                    </w:rPr>
                    <w:t>25kg/袋</w:t>
                  </w:r>
                </w:p>
              </w:tc>
              <w:tc>
                <w:tcPr>
                  <w:tcW w:w="575" w:type="pct"/>
                  <w:tcBorders>
                    <w:tl2br w:val="nil"/>
                    <w:tr2bl w:val="nil"/>
                  </w:tcBorders>
                  <w:vAlign w:val="center"/>
                </w:tcPr>
                <w:p w14:paraId="5F05CF98">
                  <w:pPr>
                    <w:pStyle w:val="33"/>
                    <w:rPr>
                      <w:color w:val="auto"/>
                    </w:rPr>
                  </w:pPr>
                  <w:r>
                    <w:rPr>
                      <w:rFonts w:hint="eastAsia"/>
                      <w:color w:val="auto"/>
                    </w:rPr>
                    <w:t>0.3t</w:t>
                  </w:r>
                </w:p>
              </w:tc>
              <w:tc>
                <w:tcPr>
                  <w:tcW w:w="1498" w:type="pct"/>
                  <w:tcBorders>
                    <w:tl2br w:val="nil"/>
                    <w:tr2bl w:val="nil"/>
                  </w:tcBorders>
                  <w:vAlign w:val="center"/>
                </w:tcPr>
                <w:p w14:paraId="7CF9E716">
                  <w:pPr>
                    <w:pStyle w:val="33"/>
                    <w:rPr>
                      <w:color w:val="auto"/>
                    </w:rPr>
                  </w:pPr>
                  <w:r>
                    <w:rPr>
                      <w:rFonts w:hint="eastAsia"/>
                      <w:color w:val="auto"/>
                    </w:rPr>
                    <w:t>袋装，原料库密闭存放</w:t>
                  </w:r>
                </w:p>
              </w:tc>
            </w:tr>
            <w:tr w14:paraId="0878CA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53992FE1">
                  <w:pPr>
                    <w:pStyle w:val="33"/>
                    <w:rPr>
                      <w:color w:val="auto"/>
                    </w:rPr>
                  </w:pPr>
                  <w:r>
                    <w:rPr>
                      <w:rFonts w:hint="eastAsia"/>
                      <w:color w:val="auto"/>
                    </w:rPr>
                    <w:t>4</w:t>
                  </w:r>
                </w:p>
              </w:tc>
              <w:tc>
                <w:tcPr>
                  <w:tcW w:w="942" w:type="pct"/>
                  <w:tcBorders>
                    <w:tl2br w:val="nil"/>
                    <w:tr2bl w:val="nil"/>
                  </w:tcBorders>
                  <w:vAlign w:val="center"/>
                </w:tcPr>
                <w:p w14:paraId="36CEAB66">
                  <w:pPr>
                    <w:pStyle w:val="33"/>
                    <w:rPr>
                      <w:color w:val="auto"/>
                    </w:rPr>
                  </w:pPr>
                  <w:r>
                    <w:rPr>
                      <w:rFonts w:hint="eastAsia"/>
                      <w:color w:val="auto"/>
                    </w:rPr>
                    <w:t>白砂糖</w:t>
                  </w:r>
                </w:p>
              </w:tc>
              <w:tc>
                <w:tcPr>
                  <w:tcW w:w="871" w:type="pct"/>
                  <w:tcBorders>
                    <w:tl2br w:val="nil"/>
                    <w:tr2bl w:val="nil"/>
                  </w:tcBorders>
                  <w:vAlign w:val="center"/>
                </w:tcPr>
                <w:p w14:paraId="319227AC">
                  <w:pPr>
                    <w:pStyle w:val="33"/>
                    <w:rPr>
                      <w:color w:val="auto"/>
                    </w:rPr>
                  </w:pPr>
                  <w:r>
                    <w:rPr>
                      <w:rFonts w:hint="eastAsia"/>
                      <w:color w:val="auto"/>
                    </w:rPr>
                    <w:t>76.</w:t>
                  </w:r>
                  <w:r>
                    <w:rPr>
                      <w:rFonts w:hint="eastAsia"/>
                      <w:color w:val="auto"/>
                      <w:lang w:val="en-US" w:eastAsia="zh-CN"/>
                    </w:rPr>
                    <w:t>60</w:t>
                  </w:r>
                  <w:r>
                    <w:rPr>
                      <w:rFonts w:hint="eastAsia"/>
                      <w:color w:val="auto"/>
                    </w:rPr>
                    <w:t>t</w:t>
                  </w:r>
                  <w:r>
                    <w:rPr>
                      <w:color w:val="auto"/>
                    </w:rPr>
                    <w:t>/a</w:t>
                  </w:r>
                </w:p>
              </w:tc>
              <w:tc>
                <w:tcPr>
                  <w:tcW w:w="765" w:type="pct"/>
                  <w:tcBorders>
                    <w:tl2br w:val="nil"/>
                    <w:tr2bl w:val="nil"/>
                  </w:tcBorders>
                  <w:vAlign w:val="center"/>
                </w:tcPr>
                <w:p w14:paraId="4F08AD20">
                  <w:pPr>
                    <w:pStyle w:val="33"/>
                    <w:rPr>
                      <w:color w:val="auto"/>
                    </w:rPr>
                  </w:pPr>
                  <w:r>
                    <w:rPr>
                      <w:rFonts w:hint="eastAsia"/>
                      <w:color w:val="auto"/>
                    </w:rPr>
                    <w:t>50kg/袋</w:t>
                  </w:r>
                </w:p>
              </w:tc>
              <w:tc>
                <w:tcPr>
                  <w:tcW w:w="575" w:type="pct"/>
                  <w:tcBorders>
                    <w:tl2br w:val="nil"/>
                    <w:tr2bl w:val="nil"/>
                  </w:tcBorders>
                  <w:vAlign w:val="center"/>
                </w:tcPr>
                <w:p w14:paraId="1AE694F2">
                  <w:pPr>
                    <w:pStyle w:val="33"/>
                    <w:rPr>
                      <w:color w:val="auto"/>
                    </w:rPr>
                  </w:pPr>
                  <w:r>
                    <w:rPr>
                      <w:rFonts w:hint="eastAsia"/>
                      <w:color w:val="auto"/>
                    </w:rPr>
                    <w:t>8.0t</w:t>
                  </w:r>
                </w:p>
              </w:tc>
              <w:tc>
                <w:tcPr>
                  <w:tcW w:w="1498" w:type="pct"/>
                  <w:tcBorders>
                    <w:tl2br w:val="nil"/>
                    <w:tr2bl w:val="nil"/>
                  </w:tcBorders>
                  <w:vAlign w:val="center"/>
                </w:tcPr>
                <w:p w14:paraId="1AECC61B">
                  <w:pPr>
                    <w:pStyle w:val="33"/>
                    <w:rPr>
                      <w:color w:val="auto"/>
                    </w:rPr>
                  </w:pPr>
                  <w:r>
                    <w:rPr>
                      <w:rFonts w:hint="eastAsia"/>
                      <w:color w:val="auto"/>
                    </w:rPr>
                    <w:t>袋装，原料库托盘存放</w:t>
                  </w:r>
                </w:p>
              </w:tc>
            </w:tr>
            <w:tr w14:paraId="78B15B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1CFDA8C2">
                  <w:pPr>
                    <w:pStyle w:val="33"/>
                    <w:rPr>
                      <w:color w:val="auto"/>
                    </w:rPr>
                  </w:pPr>
                  <w:r>
                    <w:rPr>
                      <w:rFonts w:hint="eastAsia"/>
                      <w:color w:val="auto"/>
                    </w:rPr>
                    <w:t>5</w:t>
                  </w:r>
                </w:p>
              </w:tc>
              <w:tc>
                <w:tcPr>
                  <w:tcW w:w="942" w:type="pct"/>
                  <w:tcBorders>
                    <w:tl2br w:val="nil"/>
                    <w:tr2bl w:val="nil"/>
                  </w:tcBorders>
                  <w:vAlign w:val="center"/>
                </w:tcPr>
                <w:p w14:paraId="4A3FD18C">
                  <w:pPr>
                    <w:pStyle w:val="33"/>
                    <w:rPr>
                      <w:color w:val="auto"/>
                    </w:rPr>
                  </w:pPr>
                  <w:r>
                    <w:rPr>
                      <w:rFonts w:hint="eastAsia"/>
                      <w:color w:val="auto"/>
                    </w:rPr>
                    <w:t>辣椒</w:t>
                  </w:r>
                </w:p>
              </w:tc>
              <w:tc>
                <w:tcPr>
                  <w:tcW w:w="871" w:type="pct"/>
                  <w:tcBorders>
                    <w:tl2br w:val="nil"/>
                    <w:tr2bl w:val="nil"/>
                  </w:tcBorders>
                  <w:vAlign w:val="center"/>
                </w:tcPr>
                <w:p w14:paraId="0D56D51C">
                  <w:pPr>
                    <w:pStyle w:val="33"/>
                    <w:rPr>
                      <w:color w:val="auto"/>
                    </w:rPr>
                  </w:pPr>
                  <w:r>
                    <w:rPr>
                      <w:rFonts w:hint="eastAsia"/>
                      <w:color w:val="auto"/>
                    </w:rPr>
                    <w:t>1.3t</w:t>
                  </w:r>
                  <w:r>
                    <w:rPr>
                      <w:color w:val="auto"/>
                    </w:rPr>
                    <w:t>/a</w:t>
                  </w:r>
                </w:p>
              </w:tc>
              <w:tc>
                <w:tcPr>
                  <w:tcW w:w="765" w:type="pct"/>
                  <w:tcBorders>
                    <w:tl2br w:val="nil"/>
                    <w:tr2bl w:val="nil"/>
                  </w:tcBorders>
                  <w:vAlign w:val="center"/>
                </w:tcPr>
                <w:p w14:paraId="573A4034">
                  <w:pPr>
                    <w:pStyle w:val="33"/>
                    <w:rPr>
                      <w:color w:val="auto"/>
                    </w:rPr>
                  </w:pPr>
                  <w:r>
                    <w:rPr>
                      <w:rFonts w:hint="eastAsia"/>
                      <w:color w:val="auto"/>
                    </w:rPr>
                    <w:t>25kg/袋</w:t>
                  </w:r>
                </w:p>
              </w:tc>
              <w:tc>
                <w:tcPr>
                  <w:tcW w:w="575" w:type="pct"/>
                  <w:tcBorders>
                    <w:tl2br w:val="nil"/>
                    <w:tr2bl w:val="nil"/>
                  </w:tcBorders>
                  <w:vAlign w:val="center"/>
                </w:tcPr>
                <w:p w14:paraId="70BDEB19">
                  <w:pPr>
                    <w:pStyle w:val="33"/>
                    <w:rPr>
                      <w:color w:val="auto"/>
                    </w:rPr>
                  </w:pPr>
                  <w:r>
                    <w:rPr>
                      <w:rFonts w:hint="eastAsia"/>
                      <w:color w:val="auto"/>
                    </w:rPr>
                    <w:t>0.15t</w:t>
                  </w:r>
                </w:p>
              </w:tc>
              <w:tc>
                <w:tcPr>
                  <w:tcW w:w="1498" w:type="pct"/>
                  <w:tcBorders>
                    <w:tl2br w:val="nil"/>
                    <w:tr2bl w:val="nil"/>
                  </w:tcBorders>
                  <w:vAlign w:val="center"/>
                </w:tcPr>
                <w:p w14:paraId="40F1009D">
                  <w:pPr>
                    <w:pStyle w:val="33"/>
                    <w:rPr>
                      <w:color w:val="auto"/>
                    </w:rPr>
                  </w:pPr>
                  <w:r>
                    <w:rPr>
                      <w:rFonts w:hint="eastAsia"/>
                      <w:color w:val="auto"/>
                    </w:rPr>
                    <w:t>袋装，原料库干燥存放</w:t>
                  </w:r>
                </w:p>
              </w:tc>
            </w:tr>
            <w:tr w14:paraId="41C623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470F4C5C">
                  <w:pPr>
                    <w:pStyle w:val="33"/>
                    <w:rPr>
                      <w:color w:val="auto"/>
                    </w:rPr>
                  </w:pPr>
                  <w:r>
                    <w:rPr>
                      <w:rFonts w:hint="eastAsia"/>
                      <w:color w:val="auto"/>
                    </w:rPr>
                    <w:t>6</w:t>
                  </w:r>
                </w:p>
              </w:tc>
              <w:tc>
                <w:tcPr>
                  <w:tcW w:w="942" w:type="pct"/>
                  <w:tcBorders>
                    <w:tl2br w:val="nil"/>
                    <w:tr2bl w:val="nil"/>
                  </w:tcBorders>
                  <w:vAlign w:val="center"/>
                </w:tcPr>
                <w:p w14:paraId="30F134C6">
                  <w:pPr>
                    <w:pStyle w:val="33"/>
                    <w:rPr>
                      <w:color w:val="auto"/>
                    </w:rPr>
                  </w:pPr>
                  <w:r>
                    <w:rPr>
                      <w:rFonts w:hint="eastAsia"/>
                      <w:color w:val="auto"/>
                    </w:rPr>
                    <w:t>姜</w:t>
                  </w:r>
                </w:p>
              </w:tc>
              <w:tc>
                <w:tcPr>
                  <w:tcW w:w="871" w:type="pct"/>
                  <w:tcBorders>
                    <w:tl2br w:val="nil"/>
                    <w:tr2bl w:val="nil"/>
                  </w:tcBorders>
                  <w:vAlign w:val="center"/>
                </w:tcPr>
                <w:p w14:paraId="3082511E">
                  <w:pPr>
                    <w:pStyle w:val="33"/>
                    <w:rPr>
                      <w:color w:val="auto"/>
                    </w:rPr>
                  </w:pPr>
                  <w:r>
                    <w:rPr>
                      <w:rFonts w:hint="eastAsia"/>
                      <w:color w:val="auto"/>
                    </w:rPr>
                    <w:t>0.0</w:t>
                  </w:r>
                  <w:r>
                    <w:rPr>
                      <w:rFonts w:hint="eastAsia"/>
                      <w:color w:val="auto"/>
                      <w:lang w:val="en-US" w:eastAsia="zh-CN"/>
                    </w:rPr>
                    <w:t>5</w:t>
                  </w:r>
                  <w:r>
                    <w:rPr>
                      <w:rFonts w:hint="eastAsia"/>
                      <w:color w:val="auto"/>
                    </w:rPr>
                    <w:t>t</w:t>
                  </w:r>
                  <w:r>
                    <w:rPr>
                      <w:color w:val="auto"/>
                    </w:rPr>
                    <w:t>/a</w:t>
                  </w:r>
                </w:p>
              </w:tc>
              <w:tc>
                <w:tcPr>
                  <w:tcW w:w="765" w:type="pct"/>
                  <w:tcBorders>
                    <w:tl2br w:val="nil"/>
                    <w:tr2bl w:val="nil"/>
                  </w:tcBorders>
                  <w:vAlign w:val="center"/>
                </w:tcPr>
                <w:p w14:paraId="126EC6CA">
                  <w:pPr>
                    <w:pStyle w:val="33"/>
                    <w:rPr>
                      <w:color w:val="auto"/>
                    </w:rPr>
                  </w:pPr>
                  <w:r>
                    <w:rPr>
                      <w:rFonts w:hint="eastAsia"/>
                      <w:color w:val="auto"/>
                    </w:rPr>
                    <w:t>10kg/筐</w:t>
                  </w:r>
                </w:p>
              </w:tc>
              <w:tc>
                <w:tcPr>
                  <w:tcW w:w="575" w:type="pct"/>
                  <w:tcBorders>
                    <w:tl2br w:val="nil"/>
                    <w:tr2bl w:val="nil"/>
                  </w:tcBorders>
                  <w:vAlign w:val="center"/>
                </w:tcPr>
                <w:p w14:paraId="3ECCF386">
                  <w:pPr>
                    <w:pStyle w:val="33"/>
                    <w:rPr>
                      <w:color w:val="auto"/>
                    </w:rPr>
                  </w:pPr>
                  <w:r>
                    <w:rPr>
                      <w:rFonts w:hint="eastAsia"/>
                      <w:color w:val="auto"/>
                    </w:rPr>
                    <w:t>0.0</w:t>
                  </w:r>
                  <w:r>
                    <w:rPr>
                      <w:rFonts w:hint="eastAsia"/>
                      <w:color w:val="auto"/>
                      <w:lang w:val="en-US" w:eastAsia="zh-CN"/>
                    </w:rPr>
                    <w:t>1</w:t>
                  </w:r>
                  <w:r>
                    <w:rPr>
                      <w:rFonts w:hint="eastAsia"/>
                      <w:color w:val="auto"/>
                    </w:rPr>
                    <w:t>t</w:t>
                  </w:r>
                </w:p>
              </w:tc>
              <w:tc>
                <w:tcPr>
                  <w:tcW w:w="1498" w:type="pct"/>
                  <w:tcBorders>
                    <w:tl2br w:val="nil"/>
                    <w:tr2bl w:val="nil"/>
                  </w:tcBorders>
                  <w:vAlign w:val="center"/>
                </w:tcPr>
                <w:p w14:paraId="57A721BD">
                  <w:pPr>
                    <w:pStyle w:val="33"/>
                    <w:rPr>
                      <w:color w:val="auto"/>
                    </w:rPr>
                  </w:pPr>
                  <w:r>
                    <w:rPr>
                      <w:rFonts w:hint="eastAsia"/>
                      <w:color w:val="auto"/>
                    </w:rPr>
                    <w:t>筐装，短期暂存</w:t>
                  </w:r>
                </w:p>
              </w:tc>
            </w:tr>
            <w:tr w14:paraId="39CBAA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693E902A">
                  <w:pPr>
                    <w:pStyle w:val="33"/>
                    <w:rPr>
                      <w:color w:val="auto"/>
                    </w:rPr>
                  </w:pPr>
                  <w:r>
                    <w:rPr>
                      <w:rFonts w:hint="eastAsia"/>
                      <w:color w:val="auto"/>
                    </w:rPr>
                    <w:t>7</w:t>
                  </w:r>
                </w:p>
              </w:tc>
              <w:tc>
                <w:tcPr>
                  <w:tcW w:w="942" w:type="pct"/>
                  <w:tcBorders>
                    <w:tl2br w:val="nil"/>
                    <w:tr2bl w:val="nil"/>
                  </w:tcBorders>
                  <w:vAlign w:val="center"/>
                </w:tcPr>
                <w:p w14:paraId="202D79AB">
                  <w:pPr>
                    <w:pStyle w:val="33"/>
                    <w:rPr>
                      <w:color w:val="auto"/>
                    </w:rPr>
                  </w:pPr>
                  <w:r>
                    <w:rPr>
                      <w:rFonts w:hint="eastAsia"/>
                      <w:color w:val="auto"/>
                    </w:rPr>
                    <w:t>蒜</w:t>
                  </w:r>
                </w:p>
              </w:tc>
              <w:tc>
                <w:tcPr>
                  <w:tcW w:w="871" w:type="pct"/>
                  <w:tcBorders>
                    <w:tl2br w:val="nil"/>
                    <w:tr2bl w:val="nil"/>
                  </w:tcBorders>
                  <w:vAlign w:val="center"/>
                </w:tcPr>
                <w:p w14:paraId="0BA169DE">
                  <w:pPr>
                    <w:pStyle w:val="33"/>
                    <w:rPr>
                      <w:color w:val="auto"/>
                    </w:rPr>
                  </w:pPr>
                  <w:r>
                    <w:rPr>
                      <w:rFonts w:hint="eastAsia"/>
                      <w:color w:val="auto"/>
                    </w:rPr>
                    <w:t>0.0</w:t>
                  </w:r>
                  <w:r>
                    <w:rPr>
                      <w:rFonts w:hint="eastAsia"/>
                      <w:color w:val="auto"/>
                      <w:lang w:val="en-US" w:eastAsia="zh-CN"/>
                    </w:rPr>
                    <w:t>5</w:t>
                  </w:r>
                  <w:r>
                    <w:rPr>
                      <w:rFonts w:hint="eastAsia"/>
                      <w:color w:val="auto"/>
                    </w:rPr>
                    <w:t>t</w:t>
                  </w:r>
                  <w:r>
                    <w:rPr>
                      <w:color w:val="auto"/>
                    </w:rPr>
                    <w:t>/a</w:t>
                  </w:r>
                </w:p>
              </w:tc>
              <w:tc>
                <w:tcPr>
                  <w:tcW w:w="765" w:type="pct"/>
                  <w:tcBorders>
                    <w:tl2br w:val="nil"/>
                    <w:tr2bl w:val="nil"/>
                  </w:tcBorders>
                  <w:vAlign w:val="center"/>
                </w:tcPr>
                <w:p w14:paraId="4A672DD5">
                  <w:pPr>
                    <w:pStyle w:val="33"/>
                    <w:rPr>
                      <w:color w:val="auto"/>
                    </w:rPr>
                  </w:pPr>
                  <w:r>
                    <w:rPr>
                      <w:rFonts w:hint="eastAsia"/>
                      <w:color w:val="auto"/>
                    </w:rPr>
                    <w:t>10kg/筐</w:t>
                  </w:r>
                </w:p>
              </w:tc>
              <w:tc>
                <w:tcPr>
                  <w:tcW w:w="575" w:type="pct"/>
                  <w:tcBorders>
                    <w:tl2br w:val="nil"/>
                    <w:tr2bl w:val="nil"/>
                  </w:tcBorders>
                  <w:vAlign w:val="center"/>
                </w:tcPr>
                <w:p w14:paraId="73562974">
                  <w:pPr>
                    <w:pStyle w:val="33"/>
                    <w:rPr>
                      <w:color w:val="auto"/>
                    </w:rPr>
                  </w:pPr>
                  <w:r>
                    <w:rPr>
                      <w:rFonts w:hint="eastAsia"/>
                      <w:color w:val="auto"/>
                    </w:rPr>
                    <w:t>0.0</w:t>
                  </w:r>
                  <w:r>
                    <w:rPr>
                      <w:rFonts w:hint="eastAsia"/>
                      <w:color w:val="auto"/>
                      <w:lang w:val="en-US" w:eastAsia="zh-CN"/>
                    </w:rPr>
                    <w:t>1</w:t>
                  </w:r>
                  <w:r>
                    <w:rPr>
                      <w:rFonts w:hint="eastAsia"/>
                      <w:color w:val="auto"/>
                    </w:rPr>
                    <w:t>t</w:t>
                  </w:r>
                </w:p>
              </w:tc>
              <w:tc>
                <w:tcPr>
                  <w:tcW w:w="1498" w:type="pct"/>
                  <w:tcBorders>
                    <w:tl2br w:val="nil"/>
                    <w:tr2bl w:val="nil"/>
                  </w:tcBorders>
                  <w:vAlign w:val="center"/>
                </w:tcPr>
                <w:p w14:paraId="4B81489E">
                  <w:pPr>
                    <w:pStyle w:val="33"/>
                    <w:rPr>
                      <w:color w:val="auto"/>
                    </w:rPr>
                  </w:pPr>
                  <w:r>
                    <w:rPr>
                      <w:rFonts w:hint="eastAsia"/>
                      <w:color w:val="auto"/>
                    </w:rPr>
                    <w:t>筐装，短期暂存</w:t>
                  </w:r>
                </w:p>
              </w:tc>
            </w:tr>
            <w:tr w14:paraId="124E25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5556911C">
                  <w:pPr>
                    <w:pStyle w:val="33"/>
                    <w:rPr>
                      <w:color w:val="auto"/>
                    </w:rPr>
                  </w:pPr>
                  <w:r>
                    <w:rPr>
                      <w:rFonts w:hint="eastAsia"/>
                      <w:color w:val="auto"/>
                    </w:rPr>
                    <w:t>8</w:t>
                  </w:r>
                </w:p>
              </w:tc>
              <w:tc>
                <w:tcPr>
                  <w:tcW w:w="942" w:type="pct"/>
                  <w:tcBorders>
                    <w:tl2br w:val="nil"/>
                    <w:tr2bl w:val="nil"/>
                  </w:tcBorders>
                  <w:vAlign w:val="center"/>
                </w:tcPr>
                <w:p w14:paraId="7509B3C3">
                  <w:pPr>
                    <w:pStyle w:val="33"/>
                    <w:rPr>
                      <w:color w:val="auto"/>
                    </w:rPr>
                  </w:pPr>
                  <w:r>
                    <w:rPr>
                      <w:rFonts w:hint="eastAsia"/>
                      <w:color w:val="auto"/>
                    </w:rPr>
                    <w:t>葱</w:t>
                  </w:r>
                </w:p>
              </w:tc>
              <w:tc>
                <w:tcPr>
                  <w:tcW w:w="871" w:type="pct"/>
                  <w:tcBorders>
                    <w:tl2br w:val="nil"/>
                    <w:tr2bl w:val="nil"/>
                  </w:tcBorders>
                  <w:vAlign w:val="center"/>
                </w:tcPr>
                <w:p w14:paraId="104242D1">
                  <w:pPr>
                    <w:pStyle w:val="33"/>
                    <w:rPr>
                      <w:color w:val="auto"/>
                    </w:rPr>
                  </w:pPr>
                  <w:r>
                    <w:rPr>
                      <w:rFonts w:hint="eastAsia"/>
                      <w:color w:val="auto"/>
                    </w:rPr>
                    <w:t>0.0</w:t>
                  </w:r>
                  <w:r>
                    <w:rPr>
                      <w:rFonts w:hint="eastAsia"/>
                      <w:color w:val="auto"/>
                      <w:lang w:val="en-US" w:eastAsia="zh-CN"/>
                    </w:rPr>
                    <w:t>5</w:t>
                  </w:r>
                  <w:r>
                    <w:rPr>
                      <w:rFonts w:hint="eastAsia"/>
                      <w:color w:val="auto"/>
                    </w:rPr>
                    <w:t>t</w:t>
                  </w:r>
                  <w:r>
                    <w:rPr>
                      <w:color w:val="auto"/>
                    </w:rPr>
                    <w:t>/a</w:t>
                  </w:r>
                </w:p>
              </w:tc>
              <w:tc>
                <w:tcPr>
                  <w:tcW w:w="765" w:type="pct"/>
                  <w:tcBorders>
                    <w:tl2br w:val="nil"/>
                    <w:tr2bl w:val="nil"/>
                  </w:tcBorders>
                  <w:vAlign w:val="center"/>
                </w:tcPr>
                <w:p w14:paraId="590A12E2">
                  <w:pPr>
                    <w:pStyle w:val="33"/>
                    <w:rPr>
                      <w:color w:val="auto"/>
                    </w:rPr>
                  </w:pPr>
                  <w:r>
                    <w:rPr>
                      <w:rFonts w:hint="eastAsia"/>
                      <w:color w:val="auto"/>
                    </w:rPr>
                    <w:t>10kg/筐</w:t>
                  </w:r>
                </w:p>
              </w:tc>
              <w:tc>
                <w:tcPr>
                  <w:tcW w:w="575" w:type="pct"/>
                  <w:tcBorders>
                    <w:tl2br w:val="nil"/>
                    <w:tr2bl w:val="nil"/>
                  </w:tcBorders>
                  <w:vAlign w:val="center"/>
                </w:tcPr>
                <w:p w14:paraId="72834276">
                  <w:pPr>
                    <w:pStyle w:val="33"/>
                    <w:rPr>
                      <w:color w:val="auto"/>
                    </w:rPr>
                  </w:pPr>
                  <w:r>
                    <w:rPr>
                      <w:rFonts w:hint="eastAsia"/>
                      <w:color w:val="auto"/>
                    </w:rPr>
                    <w:t>0.0</w:t>
                  </w:r>
                  <w:r>
                    <w:rPr>
                      <w:rFonts w:hint="eastAsia"/>
                      <w:color w:val="auto"/>
                      <w:lang w:val="en-US" w:eastAsia="zh-CN"/>
                    </w:rPr>
                    <w:t>1</w:t>
                  </w:r>
                  <w:r>
                    <w:rPr>
                      <w:rFonts w:hint="eastAsia"/>
                      <w:color w:val="auto"/>
                    </w:rPr>
                    <w:t>t</w:t>
                  </w:r>
                </w:p>
              </w:tc>
              <w:tc>
                <w:tcPr>
                  <w:tcW w:w="1498" w:type="pct"/>
                  <w:tcBorders>
                    <w:tl2br w:val="nil"/>
                    <w:tr2bl w:val="nil"/>
                  </w:tcBorders>
                  <w:vAlign w:val="center"/>
                </w:tcPr>
                <w:p w14:paraId="3099AB52">
                  <w:pPr>
                    <w:pStyle w:val="33"/>
                    <w:rPr>
                      <w:color w:val="auto"/>
                    </w:rPr>
                  </w:pPr>
                  <w:r>
                    <w:rPr>
                      <w:rFonts w:hint="eastAsia"/>
                      <w:color w:val="auto"/>
                    </w:rPr>
                    <w:t>筐装，短期暂存</w:t>
                  </w:r>
                </w:p>
              </w:tc>
            </w:tr>
            <w:tr w14:paraId="4089E3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5AFDDE99">
                  <w:pPr>
                    <w:pStyle w:val="33"/>
                    <w:rPr>
                      <w:color w:val="auto"/>
                    </w:rPr>
                  </w:pPr>
                  <w:r>
                    <w:rPr>
                      <w:rFonts w:hint="eastAsia"/>
                      <w:color w:val="auto"/>
                    </w:rPr>
                    <w:t>9</w:t>
                  </w:r>
                </w:p>
              </w:tc>
              <w:tc>
                <w:tcPr>
                  <w:tcW w:w="942" w:type="pct"/>
                  <w:tcBorders>
                    <w:tl2br w:val="nil"/>
                    <w:tr2bl w:val="nil"/>
                  </w:tcBorders>
                  <w:vAlign w:val="center"/>
                </w:tcPr>
                <w:p w14:paraId="585168ED">
                  <w:pPr>
                    <w:pStyle w:val="33"/>
                    <w:rPr>
                      <w:color w:val="auto"/>
                    </w:rPr>
                  </w:pPr>
                  <w:r>
                    <w:rPr>
                      <w:rFonts w:hint="eastAsia"/>
                      <w:color w:val="auto"/>
                    </w:rPr>
                    <w:t>鸡肉粉</w:t>
                  </w:r>
                </w:p>
              </w:tc>
              <w:tc>
                <w:tcPr>
                  <w:tcW w:w="871" w:type="pct"/>
                  <w:tcBorders>
                    <w:tl2br w:val="nil"/>
                    <w:tr2bl w:val="nil"/>
                  </w:tcBorders>
                  <w:vAlign w:val="center"/>
                </w:tcPr>
                <w:p w14:paraId="463321AA">
                  <w:pPr>
                    <w:pStyle w:val="33"/>
                    <w:rPr>
                      <w:color w:val="auto"/>
                    </w:rPr>
                  </w:pPr>
                  <w:r>
                    <w:rPr>
                      <w:rFonts w:hint="eastAsia"/>
                      <w:color w:val="auto"/>
                    </w:rPr>
                    <w:t>0.0</w:t>
                  </w:r>
                  <w:r>
                    <w:rPr>
                      <w:rFonts w:hint="eastAsia"/>
                      <w:color w:val="auto"/>
                      <w:lang w:val="en-US" w:eastAsia="zh-CN"/>
                    </w:rPr>
                    <w:t>8</w:t>
                  </w:r>
                  <w:r>
                    <w:rPr>
                      <w:rFonts w:hint="eastAsia"/>
                      <w:color w:val="auto"/>
                    </w:rPr>
                    <w:t>t</w:t>
                  </w:r>
                  <w:r>
                    <w:rPr>
                      <w:color w:val="auto"/>
                    </w:rPr>
                    <w:t>/a</w:t>
                  </w:r>
                </w:p>
              </w:tc>
              <w:tc>
                <w:tcPr>
                  <w:tcW w:w="765" w:type="pct"/>
                  <w:tcBorders>
                    <w:tl2br w:val="nil"/>
                    <w:tr2bl w:val="nil"/>
                  </w:tcBorders>
                  <w:vAlign w:val="center"/>
                </w:tcPr>
                <w:p w14:paraId="329F613B">
                  <w:pPr>
                    <w:pStyle w:val="33"/>
                    <w:rPr>
                      <w:color w:val="auto"/>
                    </w:rPr>
                  </w:pPr>
                  <w:r>
                    <w:rPr>
                      <w:rFonts w:hint="eastAsia"/>
                      <w:color w:val="auto"/>
                    </w:rPr>
                    <w:t>20kg/袋</w:t>
                  </w:r>
                </w:p>
              </w:tc>
              <w:tc>
                <w:tcPr>
                  <w:tcW w:w="575" w:type="pct"/>
                  <w:tcBorders>
                    <w:tl2br w:val="nil"/>
                    <w:tr2bl w:val="nil"/>
                  </w:tcBorders>
                  <w:vAlign w:val="center"/>
                </w:tcPr>
                <w:p w14:paraId="2761F28C">
                  <w:pPr>
                    <w:pStyle w:val="33"/>
                    <w:rPr>
                      <w:color w:val="auto"/>
                    </w:rPr>
                  </w:pPr>
                  <w:r>
                    <w:rPr>
                      <w:rFonts w:hint="eastAsia"/>
                      <w:color w:val="auto"/>
                    </w:rPr>
                    <w:t>0.0</w:t>
                  </w:r>
                  <w:r>
                    <w:rPr>
                      <w:rFonts w:hint="eastAsia"/>
                      <w:color w:val="auto"/>
                      <w:lang w:val="en-US" w:eastAsia="zh-CN"/>
                    </w:rPr>
                    <w:t>2</w:t>
                  </w:r>
                  <w:r>
                    <w:rPr>
                      <w:rFonts w:hint="eastAsia"/>
                      <w:color w:val="auto"/>
                    </w:rPr>
                    <w:t>t</w:t>
                  </w:r>
                </w:p>
              </w:tc>
              <w:tc>
                <w:tcPr>
                  <w:tcW w:w="1498" w:type="pct"/>
                  <w:tcBorders>
                    <w:tl2br w:val="nil"/>
                    <w:tr2bl w:val="nil"/>
                  </w:tcBorders>
                  <w:vAlign w:val="center"/>
                </w:tcPr>
                <w:p w14:paraId="73A29DBA">
                  <w:pPr>
                    <w:pStyle w:val="33"/>
                    <w:rPr>
                      <w:color w:val="auto"/>
                    </w:rPr>
                  </w:pPr>
                  <w:r>
                    <w:rPr>
                      <w:rFonts w:hint="eastAsia"/>
                      <w:color w:val="auto"/>
                    </w:rPr>
                    <w:t>袋装或桶装，密封存放</w:t>
                  </w:r>
                </w:p>
              </w:tc>
            </w:tr>
            <w:tr w14:paraId="080544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04ED6EAE">
                  <w:pPr>
                    <w:pStyle w:val="33"/>
                    <w:rPr>
                      <w:color w:val="auto"/>
                    </w:rPr>
                  </w:pPr>
                  <w:r>
                    <w:rPr>
                      <w:rFonts w:hint="eastAsia"/>
                      <w:color w:val="auto"/>
                    </w:rPr>
                    <w:t>10</w:t>
                  </w:r>
                </w:p>
              </w:tc>
              <w:tc>
                <w:tcPr>
                  <w:tcW w:w="942" w:type="pct"/>
                  <w:tcBorders>
                    <w:tl2br w:val="nil"/>
                    <w:tr2bl w:val="nil"/>
                  </w:tcBorders>
                  <w:vAlign w:val="center"/>
                </w:tcPr>
                <w:p w14:paraId="23BBB39F">
                  <w:pPr>
                    <w:pStyle w:val="33"/>
                    <w:rPr>
                      <w:color w:val="auto"/>
                    </w:rPr>
                  </w:pPr>
                  <w:r>
                    <w:rPr>
                      <w:rFonts w:hint="eastAsia"/>
                      <w:color w:val="auto"/>
                    </w:rPr>
                    <w:t>冰花酸梅酱</w:t>
                  </w:r>
                </w:p>
              </w:tc>
              <w:tc>
                <w:tcPr>
                  <w:tcW w:w="871" w:type="pct"/>
                  <w:tcBorders>
                    <w:tl2br w:val="nil"/>
                    <w:tr2bl w:val="nil"/>
                  </w:tcBorders>
                  <w:vAlign w:val="center"/>
                </w:tcPr>
                <w:p w14:paraId="72E6AD41">
                  <w:pPr>
                    <w:pStyle w:val="33"/>
                    <w:rPr>
                      <w:color w:val="auto"/>
                    </w:rPr>
                  </w:pPr>
                  <w:r>
                    <w:rPr>
                      <w:rFonts w:hint="eastAsia"/>
                      <w:color w:val="auto"/>
                    </w:rPr>
                    <w:t>11.1</w:t>
                  </w:r>
                  <w:r>
                    <w:rPr>
                      <w:rFonts w:hint="eastAsia"/>
                      <w:color w:val="auto"/>
                      <w:lang w:val="en-US" w:eastAsia="zh-CN"/>
                    </w:rPr>
                    <w:t>5</w:t>
                  </w:r>
                  <w:r>
                    <w:rPr>
                      <w:rFonts w:hint="eastAsia"/>
                      <w:color w:val="auto"/>
                    </w:rPr>
                    <w:t>t</w:t>
                  </w:r>
                  <w:r>
                    <w:rPr>
                      <w:color w:val="auto"/>
                    </w:rPr>
                    <w:t>/a</w:t>
                  </w:r>
                </w:p>
              </w:tc>
              <w:tc>
                <w:tcPr>
                  <w:tcW w:w="765" w:type="pct"/>
                  <w:tcBorders>
                    <w:tl2br w:val="nil"/>
                    <w:tr2bl w:val="nil"/>
                  </w:tcBorders>
                  <w:vAlign w:val="center"/>
                </w:tcPr>
                <w:p w14:paraId="1691964B">
                  <w:pPr>
                    <w:pStyle w:val="33"/>
                    <w:rPr>
                      <w:color w:val="auto"/>
                    </w:rPr>
                  </w:pPr>
                  <w:r>
                    <w:rPr>
                      <w:rFonts w:hint="eastAsia"/>
                      <w:color w:val="auto"/>
                    </w:rPr>
                    <w:t>25kg/桶</w:t>
                  </w:r>
                </w:p>
              </w:tc>
              <w:tc>
                <w:tcPr>
                  <w:tcW w:w="575" w:type="pct"/>
                  <w:tcBorders>
                    <w:tl2br w:val="nil"/>
                    <w:tr2bl w:val="nil"/>
                  </w:tcBorders>
                  <w:vAlign w:val="center"/>
                </w:tcPr>
                <w:p w14:paraId="6A3F8280">
                  <w:pPr>
                    <w:pStyle w:val="33"/>
                    <w:rPr>
                      <w:color w:val="auto"/>
                    </w:rPr>
                  </w:pPr>
                  <w:r>
                    <w:rPr>
                      <w:rFonts w:hint="eastAsia"/>
                      <w:color w:val="auto"/>
                    </w:rPr>
                    <w:t>1.2t</w:t>
                  </w:r>
                </w:p>
              </w:tc>
              <w:tc>
                <w:tcPr>
                  <w:tcW w:w="1498" w:type="pct"/>
                  <w:tcBorders>
                    <w:tl2br w:val="nil"/>
                    <w:tr2bl w:val="nil"/>
                  </w:tcBorders>
                  <w:vAlign w:val="center"/>
                </w:tcPr>
                <w:p w14:paraId="217E5EBD">
                  <w:pPr>
                    <w:pStyle w:val="33"/>
                    <w:rPr>
                      <w:color w:val="auto"/>
                    </w:rPr>
                  </w:pPr>
                  <w:r>
                    <w:rPr>
                      <w:rFonts w:hint="eastAsia"/>
                      <w:color w:val="auto"/>
                    </w:rPr>
                    <w:t>食品级桶装，密闭存放</w:t>
                  </w:r>
                </w:p>
              </w:tc>
            </w:tr>
            <w:tr w14:paraId="31331A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4D18A2BE">
                  <w:pPr>
                    <w:pStyle w:val="33"/>
                    <w:rPr>
                      <w:color w:val="auto"/>
                    </w:rPr>
                  </w:pPr>
                  <w:r>
                    <w:rPr>
                      <w:rFonts w:hint="eastAsia"/>
                      <w:color w:val="auto"/>
                    </w:rPr>
                    <w:t>11</w:t>
                  </w:r>
                </w:p>
              </w:tc>
              <w:tc>
                <w:tcPr>
                  <w:tcW w:w="942" w:type="pct"/>
                  <w:tcBorders>
                    <w:tl2br w:val="nil"/>
                    <w:tr2bl w:val="nil"/>
                  </w:tcBorders>
                  <w:vAlign w:val="center"/>
                </w:tcPr>
                <w:p w14:paraId="45283C26">
                  <w:pPr>
                    <w:pStyle w:val="33"/>
                    <w:rPr>
                      <w:color w:val="auto"/>
                    </w:rPr>
                  </w:pPr>
                  <w:r>
                    <w:rPr>
                      <w:rFonts w:hint="eastAsia"/>
                      <w:color w:val="auto"/>
                    </w:rPr>
                    <w:t>冰糖</w:t>
                  </w:r>
                </w:p>
              </w:tc>
              <w:tc>
                <w:tcPr>
                  <w:tcW w:w="871" w:type="pct"/>
                  <w:tcBorders>
                    <w:tl2br w:val="nil"/>
                    <w:tr2bl w:val="nil"/>
                  </w:tcBorders>
                  <w:vAlign w:val="center"/>
                </w:tcPr>
                <w:p w14:paraId="33985193">
                  <w:pPr>
                    <w:pStyle w:val="33"/>
                    <w:rPr>
                      <w:color w:val="auto"/>
                    </w:rPr>
                  </w:pPr>
                  <w:r>
                    <w:rPr>
                      <w:rFonts w:hint="eastAsia"/>
                      <w:color w:val="auto"/>
                    </w:rPr>
                    <w:t>2.9t</w:t>
                  </w:r>
                  <w:r>
                    <w:rPr>
                      <w:color w:val="auto"/>
                    </w:rPr>
                    <w:t>/a</w:t>
                  </w:r>
                </w:p>
              </w:tc>
              <w:tc>
                <w:tcPr>
                  <w:tcW w:w="765" w:type="pct"/>
                  <w:tcBorders>
                    <w:tl2br w:val="nil"/>
                    <w:tr2bl w:val="nil"/>
                  </w:tcBorders>
                  <w:vAlign w:val="center"/>
                </w:tcPr>
                <w:p w14:paraId="757E5116">
                  <w:pPr>
                    <w:pStyle w:val="33"/>
                    <w:rPr>
                      <w:color w:val="auto"/>
                    </w:rPr>
                  </w:pPr>
                  <w:r>
                    <w:rPr>
                      <w:rFonts w:hint="eastAsia"/>
                      <w:color w:val="auto"/>
                    </w:rPr>
                    <w:t>25kg/袋</w:t>
                  </w:r>
                </w:p>
              </w:tc>
              <w:tc>
                <w:tcPr>
                  <w:tcW w:w="575" w:type="pct"/>
                  <w:tcBorders>
                    <w:tl2br w:val="nil"/>
                    <w:tr2bl w:val="nil"/>
                  </w:tcBorders>
                  <w:vAlign w:val="center"/>
                </w:tcPr>
                <w:p w14:paraId="09F9AD49">
                  <w:pPr>
                    <w:pStyle w:val="33"/>
                    <w:rPr>
                      <w:color w:val="auto"/>
                    </w:rPr>
                  </w:pPr>
                  <w:r>
                    <w:rPr>
                      <w:rFonts w:hint="eastAsia"/>
                      <w:color w:val="auto"/>
                    </w:rPr>
                    <w:t>0.3t</w:t>
                  </w:r>
                </w:p>
              </w:tc>
              <w:tc>
                <w:tcPr>
                  <w:tcW w:w="1498" w:type="pct"/>
                  <w:tcBorders>
                    <w:tl2br w:val="nil"/>
                    <w:tr2bl w:val="nil"/>
                  </w:tcBorders>
                  <w:vAlign w:val="center"/>
                </w:tcPr>
                <w:p w14:paraId="4A797966">
                  <w:pPr>
                    <w:pStyle w:val="33"/>
                    <w:rPr>
                      <w:color w:val="auto"/>
                    </w:rPr>
                  </w:pPr>
                  <w:r>
                    <w:rPr>
                      <w:rFonts w:hint="eastAsia"/>
                      <w:color w:val="auto"/>
                    </w:rPr>
                    <w:t>袋装，干燥存放</w:t>
                  </w:r>
                </w:p>
              </w:tc>
            </w:tr>
            <w:tr w14:paraId="0A2572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108D1957">
                  <w:pPr>
                    <w:pStyle w:val="33"/>
                    <w:rPr>
                      <w:color w:val="auto"/>
                    </w:rPr>
                  </w:pPr>
                  <w:r>
                    <w:rPr>
                      <w:rFonts w:hint="eastAsia"/>
                      <w:color w:val="auto"/>
                    </w:rPr>
                    <w:t>12</w:t>
                  </w:r>
                </w:p>
              </w:tc>
              <w:tc>
                <w:tcPr>
                  <w:tcW w:w="942" w:type="pct"/>
                  <w:tcBorders>
                    <w:tl2br w:val="nil"/>
                    <w:tr2bl w:val="nil"/>
                  </w:tcBorders>
                  <w:vAlign w:val="center"/>
                </w:tcPr>
                <w:p w14:paraId="1011DADA">
                  <w:pPr>
                    <w:pStyle w:val="33"/>
                    <w:rPr>
                      <w:color w:val="auto"/>
                    </w:rPr>
                  </w:pPr>
                  <w:r>
                    <w:rPr>
                      <w:rFonts w:hint="eastAsia"/>
                      <w:color w:val="auto"/>
                    </w:rPr>
                    <w:t>食用葡萄糖</w:t>
                  </w:r>
                </w:p>
              </w:tc>
              <w:tc>
                <w:tcPr>
                  <w:tcW w:w="871" w:type="pct"/>
                  <w:tcBorders>
                    <w:tl2br w:val="nil"/>
                    <w:tr2bl w:val="nil"/>
                  </w:tcBorders>
                  <w:vAlign w:val="center"/>
                </w:tcPr>
                <w:p w14:paraId="1805922C">
                  <w:pPr>
                    <w:pStyle w:val="33"/>
                    <w:rPr>
                      <w:color w:val="auto"/>
                    </w:rPr>
                  </w:pPr>
                  <w:r>
                    <w:rPr>
                      <w:rFonts w:hint="eastAsia"/>
                      <w:color w:val="auto"/>
                    </w:rPr>
                    <w:t>0.0</w:t>
                  </w:r>
                  <w:r>
                    <w:rPr>
                      <w:rFonts w:hint="eastAsia"/>
                      <w:color w:val="auto"/>
                      <w:lang w:val="en-US" w:eastAsia="zh-CN"/>
                    </w:rPr>
                    <w:t>5</w:t>
                  </w:r>
                  <w:r>
                    <w:rPr>
                      <w:rFonts w:hint="eastAsia"/>
                      <w:color w:val="auto"/>
                    </w:rPr>
                    <w:t>t</w:t>
                  </w:r>
                  <w:r>
                    <w:rPr>
                      <w:color w:val="auto"/>
                    </w:rPr>
                    <w:t>/a</w:t>
                  </w:r>
                </w:p>
              </w:tc>
              <w:tc>
                <w:tcPr>
                  <w:tcW w:w="765" w:type="pct"/>
                  <w:tcBorders>
                    <w:tl2br w:val="nil"/>
                    <w:tr2bl w:val="nil"/>
                  </w:tcBorders>
                  <w:vAlign w:val="center"/>
                </w:tcPr>
                <w:p w14:paraId="28C56592">
                  <w:pPr>
                    <w:pStyle w:val="33"/>
                    <w:rPr>
                      <w:color w:val="auto"/>
                    </w:rPr>
                  </w:pPr>
                  <w:r>
                    <w:rPr>
                      <w:rFonts w:hint="eastAsia"/>
                      <w:color w:val="auto"/>
                    </w:rPr>
                    <w:t>25kg/袋</w:t>
                  </w:r>
                </w:p>
              </w:tc>
              <w:tc>
                <w:tcPr>
                  <w:tcW w:w="575" w:type="pct"/>
                  <w:tcBorders>
                    <w:tl2br w:val="nil"/>
                    <w:tr2bl w:val="nil"/>
                  </w:tcBorders>
                  <w:vAlign w:val="center"/>
                </w:tcPr>
                <w:p w14:paraId="37D665BC">
                  <w:pPr>
                    <w:pStyle w:val="33"/>
                    <w:rPr>
                      <w:color w:val="auto"/>
                    </w:rPr>
                  </w:pPr>
                  <w:r>
                    <w:rPr>
                      <w:rFonts w:hint="eastAsia"/>
                      <w:color w:val="auto"/>
                    </w:rPr>
                    <w:t>0.0</w:t>
                  </w:r>
                  <w:r>
                    <w:rPr>
                      <w:rFonts w:hint="eastAsia"/>
                      <w:color w:val="auto"/>
                      <w:lang w:val="en-US" w:eastAsia="zh-CN"/>
                    </w:rPr>
                    <w:t>25</w:t>
                  </w:r>
                  <w:r>
                    <w:rPr>
                      <w:rFonts w:hint="eastAsia"/>
                      <w:color w:val="auto"/>
                    </w:rPr>
                    <w:t>t</w:t>
                  </w:r>
                </w:p>
              </w:tc>
              <w:tc>
                <w:tcPr>
                  <w:tcW w:w="1498" w:type="pct"/>
                  <w:tcBorders>
                    <w:tl2br w:val="nil"/>
                    <w:tr2bl w:val="nil"/>
                  </w:tcBorders>
                  <w:vAlign w:val="center"/>
                </w:tcPr>
                <w:p w14:paraId="3709B304">
                  <w:pPr>
                    <w:pStyle w:val="33"/>
                    <w:rPr>
                      <w:color w:val="auto"/>
                    </w:rPr>
                  </w:pPr>
                  <w:r>
                    <w:rPr>
                      <w:rFonts w:hint="eastAsia"/>
                      <w:color w:val="auto"/>
                    </w:rPr>
                    <w:t>袋装，密闭存放</w:t>
                  </w:r>
                </w:p>
              </w:tc>
            </w:tr>
            <w:tr w14:paraId="69E21A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59A66E5E">
                  <w:pPr>
                    <w:pStyle w:val="33"/>
                    <w:rPr>
                      <w:color w:val="auto"/>
                    </w:rPr>
                  </w:pPr>
                  <w:r>
                    <w:rPr>
                      <w:rFonts w:hint="eastAsia"/>
                      <w:color w:val="auto"/>
                    </w:rPr>
                    <w:t>13</w:t>
                  </w:r>
                </w:p>
              </w:tc>
              <w:tc>
                <w:tcPr>
                  <w:tcW w:w="942" w:type="pct"/>
                  <w:tcBorders>
                    <w:tl2br w:val="nil"/>
                    <w:tr2bl w:val="nil"/>
                  </w:tcBorders>
                  <w:vAlign w:val="center"/>
                </w:tcPr>
                <w:p w14:paraId="60E4EC21">
                  <w:pPr>
                    <w:pStyle w:val="33"/>
                    <w:rPr>
                      <w:color w:val="auto"/>
                    </w:rPr>
                  </w:pPr>
                  <w:r>
                    <w:rPr>
                      <w:rFonts w:hint="eastAsia"/>
                      <w:color w:val="auto"/>
                    </w:rPr>
                    <w:t>食用玉米淀粉</w:t>
                  </w:r>
                </w:p>
              </w:tc>
              <w:tc>
                <w:tcPr>
                  <w:tcW w:w="871" w:type="pct"/>
                  <w:tcBorders>
                    <w:tl2br w:val="nil"/>
                    <w:tr2bl w:val="nil"/>
                  </w:tcBorders>
                  <w:vAlign w:val="center"/>
                </w:tcPr>
                <w:p w14:paraId="4943A1FA">
                  <w:pPr>
                    <w:pStyle w:val="33"/>
                    <w:rPr>
                      <w:color w:val="auto"/>
                    </w:rPr>
                  </w:pPr>
                  <w:r>
                    <w:rPr>
                      <w:rFonts w:hint="eastAsia"/>
                      <w:color w:val="auto"/>
                    </w:rPr>
                    <w:t>0.0</w:t>
                  </w:r>
                  <w:r>
                    <w:rPr>
                      <w:rFonts w:hint="eastAsia"/>
                      <w:color w:val="auto"/>
                      <w:lang w:val="en-US" w:eastAsia="zh-CN"/>
                    </w:rPr>
                    <w:t>5</w:t>
                  </w:r>
                  <w:r>
                    <w:rPr>
                      <w:rFonts w:hint="eastAsia"/>
                      <w:color w:val="auto"/>
                    </w:rPr>
                    <w:t>t</w:t>
                  </w:r>
                  <w:r>
                    <w:rPr>
                      <w:color w:val="auto"/>
                    </w:rPr>
                    <w:t>/a</w:t>
                  </w:r>
                </w:p>
              </w:tc>
              <w:tc>
                <w:tcPr>
                  <w:tcW w:w="765" w:type="pct"/>
                  <w:tcBorders>
                    <w:tl2br w:val="nil"/>
                    <w:tr2bl w:val="nil"/>
                  </w:tcBorders>
                  <w:vAlign w:val="center"/>
                </w:tcPr>
                <w:p w14:paraId="42A9D48E">
                  <w:pPr>
                    <w:pStyle w:val="33"/>
                    <w:rPr>
                      <w:color w:val="auto"/>
                    </w:rPr>
                  </w:pPr>
                  <w:r>
                    <w:rPr>
                      <w:rFonts w:hint="eastAsia"/>
                      <w:color w:val="auto"/>
                    </w:rPr>
                    <w:t>25kg/袋</w:t>
                  </w:r>
                </w:p>
              </w:tc>
              <w:tc>
                <w:tcPr>
                  <w:tcW w:w="575" w:type="pct"/>
                  <w:tcBorders>
                    <w:tl2br w:val="nil"/>
                    <w:tr2bl w:val="nil"/>
                  </w:tcBorders>
                  <w:vAlign w:val="center"/>
                </w:tcPr>
                <w:p w14:paraId="084C122C">
                  <w:pPr>
                    <w:pStyle w:val="33"/>
                    <w:rPr>
                      <w:color w:val="auto"/>
                    </w:rPr>
                  </w:pPr>
                  <w:r>
                    <w:rPr>
                      <w:rFonts w:hint="eastAsia"/>
                      <w:color w:val="auto"/>
                    </w:rPr>
                    <w:t>0.0</w:t>
                  </w:r>
                  <w:r>
                    <w:rPr>
                      <w:rFonts w:hint="eastAsia"/>
                      <w:color w:val="auto"/>
                      <w:lang w:val="en-US" w:eastAsia="zh-CN"/>
                    </w:rPr>
                    <w:t>25</w:t>
                  </w:r>
                  <w:r>
                    <w:rPr>
                      <w:rFonts w:hint="eastAsia"/>
                      <w:color w:val="auto"/>
                    </w:rPr>
                    <w:t>t</w:t>
                  </w:r>
                </w:p>
              </w:tc>
              <w:tc>
                <w:tcPr>
                  <w:tcW w:w="1498" w:type="pct"/>
                  <w:tcBorders>
                    <w:tl2br w:val="nil"/>
                    <w:tr2bl w:val="nil"/>
                  </w:tcBorders>
                  <w:vAlign w:val="center"/>
                </w:tcPr>
                <w:p w14:paraId="6961D981">
                  <w:pPr>
                    <w:pStyle w:val="33"/>
                    <w:rPr>
                      <w:color w:val="auto"/>
                    </w:rPr>
                  </w:pPr>
                  <w:r>
                    <w:rPr>
                      <w:rFonts w:hint="eastAsia"/>
                      <w:color w:val="auto"/>
                    </w:rPr>
                    <w:t>袋装，密闭防潮存放</w:t>
                  </w:r>
                </w:p>
              </w:tc>
            </w:tr>
            <w:tr w14:paraId="67985C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22219A9F">
                  <w:pPr>
                    <w:pStyle w:val="33"/>
                    <w:rPr>
                      <w:color w:val="auto"/>
                    </w:rPr>
                  </w:pPr>
                  <w:r>
                    <w:rPr>
                      <w:rFonts w:hint="eastAsia"/>
                      <w:color w:val="auto"/>
                    </w:rPr>
                    <w:t>14</w:t>
                  </w:r>
                </w:p>
              </w:tc>
              <w:tc>
                <w:tcPr>
                  <w:tcW w:w="942" w:type="pct"/>
                  <w:tcBorders>
                    <w:tl2br w:val="nil"/>
                    <w:tr2bl w:val="nil"/>
                  </w:tcBorders>
                  <w:vAlign w:val="center"/>
                </w:tcPr>
                <w:p w14:paraId="7E3581DA">
                  <w:pPr>
                    <w:pStyle w:val="33"/>
                    <w:rPr>
                      <w:color w:val="auto"/>
                    </w:rPr>
                  </w:pPr>
                  <w:r>
                    <w:rPr>
                      <w:rFonts w:hint="eastAsia"/>
                      <w:color w:val="auto"/>
                    </w:rPr>
                    <w:t>麦芽糊精</w:t>
                  </w:r>
                </w:p>
              </w:tc>
              <w:tc>
                <w:tcPr>
                  <w:tcW w:w="871" w:type="pct"/>
                  <w:tcBorders>
                    <w:tl2br w:val="nil"/>
                    <w:tr2bl w:val="nil"/>
                  </w:tcBorders>
                  <w:vAlign w:val="center"/>
                </w:tcPr>
                <w:p w14:paraId="65C37BF5">
                  <w:pPr>
                    <w:pStyle w:val="33"/>
                    <w:rPr>
                      <w:color w:val="auto"/>
                    </w:rPr>
                  </w:pPr>
                  <w:r>
                    <w:rPr>
                      <w:rFonts w:hint="eastAsia"/>
                      <w:color w:val="auto"/>
                    </w:rPr>
                    <w:t>0.0</w:t>
                  </w:r>
                  <w:r>
                    <w:rPr>
                      <w:rFonts w:hint="eastAsia"/>
                      <w:color w:val="auto"/>
                      <w:lang w:val="en-US" w:eastAsia="zh-CN"/>
                    </w:rPr>
                    <w:t>5</w:t>
                  </w:r>
                  <w:r>
                    <w:rPr>
                      <w:rFonts w:hint="eastAsia"/>
                      <w:color w:val="auto"/>
                    </w:rPr>
                    <w:t>t</w:t>
                  </w:r>
                  <w:r>
                    <w:rPr>
                      <w:color w:val="auto"/>
                    </w:rPr>
                    <w:t>/a</w:t>
                  </w:r>
                </w:p>
              </w:tc>
              <w:tc>
                <w:tcPr>
                  <w:tcW w:w="765" w:type="pct"/>
                  <w:tcBorders>
                    <w:tl2br w:val="nil"/>
                    <w:tr2bl w:val="nil"/>
                  </w:tcBorders>
                  <w:vAlign w:val="center"/>
                </w:tcPr>
                <w:p w14:paraId="17775846">
                  <w:pPr>
                    <w:pStyle w:val="33"/>
                    <w:rPr>
                      <w:color w:val="auto"/>
                    </w:rPr>
                  </w:pPr>
                  <w:r>
                    <w:rPr>
                      <w:rFonts w:hint="eastAsia"/>
                      <w:color w:val="auto"/>
                    </w:rPr>
                    <w:t>25kg/袋</w:t>
                  </w:r>
                </w:p>
              </w:tc>
              <w:tc>
                <w:tcPr>
                  <w:tcW w:w="575" w:type="pct"/>
                  <w:tcBorders>
                    <w:tl2br w:val="nil"/>
                    <w:tr2bl w:val="nil"/>
                  </w:tcBorders>
                  <w:vAlign w:val="center"/>
                </w:tcPr>
                <w:p w14:paraId="588228FB">
                  <w:pPr>
                    <w:pStyle w:val="33"/>
                    <w:rPr>
                      <w:color w:val="auto"/>
                    </w:rPr>
                  </w:pPr>
                  <w:r>
                    <w:rPr>
                      <w:rFonts w:hint="eastAsia"/>
                      <w:color w:val="auto"/>
                    </w:rPr>
                    <w:t>0.0</w:t>
                  </w:r>
                  <w:r>
                    <w:rPr>
                      <w:rFonts w:hint="eastAsia"/>
                      <w:color w:val="auto"/>
                      <w:lang w:val="en-US" w:eastAsia="zh-CN"/>
                    </w:rPr>
                    <w:t>25</w:t>
                  </w:r>
                  <w:r>
                    <w:rPr>
                      <w:rFonts w:hint="eastAsia"/>
                      <w:color w:val="auto"/>
                    </w:rPr>
                    <w:t>t</w:t>
                  </w:r>
                </w:p>
              </w:tc>
              <w:tc>
                <w:tcPr>
                  <w:tcW w:w="1498" w:type="pct"/>
                  <w:tcBorders>
                    <w:tl2br w:val="nil"/>
                    <w:tr2bl w:val="nil"/>
                  </w:tcBorders>
                  <w:vAlign w:val="center"/>
                </w:tcPr>
                <w:p w14:paraId="146AFDD4">
                  <w:pPr>
                    <w:pStyle w:val="33"/>
                    <w:rPr>
                      <w:color w:val="auto"/>
                    </w:rPr>
                  </w:pPr>
                  <w:r>
                    <w:rPr>
                      <w:rFonts w:hint="eastAsia"/>
                      <w:color w:val="auto"/>
                    </w:rPr>
                    <w:t>袋装，密闭防潮存放</w:t>
                  </w:r>
                </w:p>
              </w:tc>
            </w:tr>
            <w:tr w14:paraId="69C9DA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347" w:type="pct"/>
                  <w:tcBorders>
                    <w:tl2br w:val="nil"/>
                    <w:tr2bl w:val="nil"/>
                  </w:tcBorders>
                  <w:vAlign w:val="center"/>
                </w:tcPr>
                <w:p w14:paraId="5B319855">
                  <w:pPr>
                    <w:pStyle w:val="33"/>
                    <w:rPr>
                      <w:color w:val="auto"/>
                    </w:rPr>
                  </w:pPr>
                  <w:r>
                    <w:rPr>
                      <w:rFonts w:hint="eastAsia"/>
                      <w:color w:val="auto"/>
                    </w:rPr>
                    <w:t>15</w:t>
                  </w:r>
                </w:p>
              </w:tc>
              <w:tc>
                <w:tcPr>
                  <w:tcW w:w="942" w:type="pct"/>
                  <w:tcBorders>
                    <w:tl2br w:val="nil"/>
                    <w:tr2bl w:val="nil"/>
                  </w:tcBorders>
                  <w:vAlign w:val="center"/>
                </w:tcPr>
                <w:p w14:paraId="18ADE37A">
                  <w:pPr>
                    <w:pStyle w:val="33"/>
                    <w:rPr>
                      <w:color w:val="auto"/>
                    </w:rPr>
                  </w:pPr>
                  <w:r>
                    <w:rPr>
                      <w:rFonts w:hint="eastAsia"/>
                      <w:color w:val="auto"/>
                    </w:rPr>
                    <w:t>食用鸡油</w:t>
                  </w:r>
                </w:p>
              </w:tc>
              <w:tc>
                <w:tcPr>
                  <w:tcW w:w="871" w:type="pct"/>
                  <w:tcBorders>
                    <w:tl2br w:val="nil"/>
                    <w:tr2bl w:val="nil"/>
                  </w:tcBorders>
                  <w:vAlign w:val="center"/>
                </w:tcPr>
                <w:p w14:paraId="61FC76B1">
                  <w:pPr>
                    <w:pStyle w:val="33"/>
                    <w:rPr>
                      <w:color w:val="auto"/>
                    </w:rPr>
                  </w:pPr>
                  <w:r>
                    <w:rPr>
                      <w:rFonts w:hint="eastAsia"/>
                      <w:color w:val="auto"/>
                    </w:rPr>
                    <w:t>0.0</w:t>
                  </w:r>
                  <w:r>
                    <w:rPr>
                      <w:rFonts w:hint="eastAsia"/>
                      <w:color w:val="auto"/>
                      <w:lang w:val="en-US" w:eastAsia="zh-CN"/>
                    </w:rPr>
                    <w:t>4</w:t>
                  </w:r>
                  <w:r>
                    <w:rPr>
                      <w:rFonts w:hint="eastAsia"/>
                      <w:color w:val="auto"/>
                    </w:rPr>
                    <w:t>t</w:t>
                  </w:r>
                  <w:r>
                    <w:rPr>
                      <w:color w:val="auto"/>
                    </w:rPr>
                    <w:t>/a</w:t>
                  </w:r>
                </w:p>
              </w:tc>
              <w:tc>
                <w:tcPr>
                  <w:tcW w:w="765" w:type="pct"/>
                  <w:tcBorders>
                    <w:tl2br w:val="nil"/>
                    <w:tr2bl w:val="nil"/>
                  </w:tcBorders>
                  <w:vAlign w:val="center"/>
                </w:tcPr>
                <w:p w14:paraId="2D62470F">
                  <w:pPr>
                    <w:pStyle w:val="33"/>
                    <w:rPr>
                      <w:color w:val="auto"/>
                    </w:rPr>
                  </w:pPr>
                  <w:r>
                    <w:rPr>
                      <w:rFonts w:hint="eastAsia"/>
                      <w:color w:val="auto"/>
                    </w:rPr>
                    <w:t>20kg/桶</w:t>
                  </w:r>
                </w:p>
              </w:tc>
              <w:tc>
                <w:tcPr>
                  <w:tcW w:w="575" w:type="pct"/>
                  <w:tcBorders>
                    <w:tl2br w:val="nil"/>
                    <w:tr2bl w:val="nil"/>
                  </w:tcBorders>
                  <w:vAlign w:val="center"/>
                </w:tcPr>
                <w:p w14:paraId="2E4CCD5D">
                  <w:pPr>
                    <w:pStyle w:val="33"/>
                    <w:rPr>
                      <w:color w:val="auto"/>
                    </w:rPr>
                  </w:pPr>
                  <w:r>
                    <w:rPr>
                      <w:rFonts w:hint="eastAsia"/>
                      <w:color w:val="auto"/>
                    </w:rPr>
                    <w:t>0.0</w:t>
                  </w:r>
                  <w:r>
                    <w:rPr>
                      <w:rFonts w:hint="eastAsia"/>
                      <w:color w:val="auto"/>
                      <w:lang w:val="en-US" w:eastAsia="zh-CN"/>
                    </w:rPr>
                    <w:t>2</w:t>
                  </w:r>
                  <w:r>
                    <w:rPr>
                      <w:rFonts w:hint="eastAsia"/>
                      <w:color w:val="auto"/>
                    </w:rPr>
                    <w:t>t</w:t>
                  </w:r>
                </w:p>
              </w:tc>
              <w:tc>
                <w:tcPr>
                  <w:tcW w:w="1498" w:type="pct"/>
                  <w:tcBorders>
                    <w:tl2br w:val="nil"/>
                    <w:tr2bl w:val="nil"/>
                  </w:tcBorders>
                  <w:vAlign w:val="center"/>
                </w:tcPr>
                <w:p w14:paraId="536F2421">
                  <w:pPr>
                    <w:pStyle w:val="33"/>
                    <w:rPr>
                      <w:color w:val="auto"/>
                    </w:rPr>
                  </w:pPr>
                  <w:r>
                    <w:rPr>
                      <w:rFonts w:hint="eastAsia"/>
                      <w:color w:val="auto"/>
                    </w:rPr>
                    <w:t>食品级桶装，密闭存放</w:t>
                  </w:r>
                </w:p>
              </w:tc>
            </w:tr>
            <w:tr w14:paraId="1BCA2A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7FCDA2FF">
                  <w:pPr>
                    <w:pStyle w:val="33"/>
                    <w:rPr>
                      <w:color w:val="auto"/>
                    </w:rPr>
                  </w:pPr>
                  <w:r>
                    <w:rPr>
                      <w:rFonts w:hint="eastAsia"/>
                      <w:color w:val="auto"/>
                    </w:rPr>
                    <w:t>16</w:t>
                  </w:r>
                </w:p>
              </w:tc>
              <w:tc>
                <w:tcPr>
                  <w:tcW w:w="942" w:type="pct"/>
                  <w:tcBorders>
                    <w:tl2br w:val="nil"/>
                    <w:tr2bl w:val="nil"/>
                  </w:tcBorders>
                  <w:vAlign w:val="center"/>
                </w:tcPr>
                <w:p w14:paraId="0EF30634">
                  <w:pPr>
                    <w:pStyle w:val="33"/>
                    <w:rPr>
                      <w:color w:val="auto"/>
                    </w:rPr>
                  </w:pPr>
                  <w:r>
                    <w:rPr>
                      <w:rFonts w:hint="eastAsia"/>
                      <w:color w:val="auto"/>
                    </w:rPr>
                    <w:t>孜然粉</w:t>
                  </w:r>
                </w:p>
              </w:tc>
              <w:tc>
                <w:tcPr>
                  <w:tcW w:w="871" w:type="pct"/>
                  <w:tcBorders>
                    <w:tl2br w:val="nil"/>
                    <w:tr2bl w:val="nil"/>
                  </w:tcBorders>
                  <w:vAlign w:val="center"/>
                </w:tcPr>
                <w:p w14:paraId="1C41AC38">
                  <w:pPr>
                    <w:pStyle w:val="33"/>
                    <w:rPr>
                      <w:color w:val="auto"/>
                    </w:rPr>
                  </w:pPr>
                  <w:r>
                    <w:rPr>
                      <w:rFonts w:hint="eastAsia"/>
                      <w:color w:val="auto"/>
                    </w:rPr>
                    <w:t>1.</w:t>
                  </w:r>
                  <w:r>
                    <w:rPr>
                      <w:rFonts w:hint="eastAsia"/>
                      <w:color w:val="auto"/>
                      <w:lang w:val="en-US" w:eastAsia="zh-CN"/>
                    </w:rPr>
                    <w:t>6</w:t>
                  </w:r>
                  <w:r>
                    <w:rPr>
                      <w:rFonts w:hint="eastAsia"/>
                      <w:color w:val="auto"/>
                    </w:rPr>
                    <w:t>t</w:t>
                  </w:r>
                  <w:r>
                    <w:rPr>
                      <w:color w:val="auto"/>
                    </w:rPr>
                    <w:t>/a</w:t>
                  </w:r>
                </w:p>
              </w:tc>
              <w:tc>
                <w:tcPr>
                  <w:tcW w:w="765" w:type="pct"/>
                  <w:tcBorders>
                    <w:tl2br w:val="nil"/>
                    <w:tr2bl w:val="nil"/>
                  </w:tcBorders>
                  <w:vAlign w:val="center"/>
                </w:tcPr>
                <w:p w14:paraId="1E78A415">
                  <w:pPr>
                    <w:pStyle w:val="33"/>
                    <w:rPr>
                      <w:color w:val="auto"/>
                    </w:rPr>
                  </w:pPr>
                  <w:r>
                    <w:rPr>
                      <w:rFonts w:hint="eastAsia"/>
                      <w:color w:val="auto"/>
                    </w:rPr>
                    <w:t>25kg/袋</w:t>
                  </w:r>
                </w:p>
              </w:tc>
              <w:tc>
                <w:tcPr>
                  <w:tcW w:w="575" w:type="pct"/>
                  <w:tcBorders>
                    <w:tl2br w:val="nil"/>
                    <w:tr2bl w:val="nil"/>
                  </w:tcBorders>
                  <w:vAlign w:val="center"/>
                </w:tcPr>
                <w:p w14:paraId="153B74E6">
                  <w:pPr>
                    <w:pStyle w:val="33"/>
                    <w:rPr>
                      <w:color w:val="auto"/>
                    </w:rPr>
                  </w:pPr>
                  <w:r>
                    <w:rPr>
                      <w:rFonts w:hint="eastAsia"/>
                      <w:color w:val="auto"/>
                    </w:rPr>
                    <w:t>0.2t</w:t>
                  </w:r>
                </w:p>
              </w:tc>
              <w:tc>
                <w:tcPr>
                  <w:tcW w:w="1498" w:type="pct"/>
                  <w:tcBorders>
                    <w:tl2br w:val="nil"/>
                    <w:tr2bl w:val="nil"/>
                  </w:tcBorders>
                  <w:vAlign w:val="center"/>
                </w:tcPr>
                <w:p w14:paraId="25006908">
                  <w:pPr>
                    <w:pStyle w:val="33"/>
                    <w:rPr>
                      <w:color w:val="auto"/>
                    </w:rPr>
                  </w:pPr>
                  <w:r>
                    <w:rPr>
                      <w:rFonts w:hint="eastAsia"/>
                      <w:color w:val="auto"/>
                    </w:rPr>
                    <w:t>袋装，密闭防潮存放</w:t>
                  </w:r>
                </w:p>
              </w:tc>
            </w:tr>
            <w:tr w14:paraId="6D9EB4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35D50A37">
                  <w:pPr>
                    <w:pStyle w:val="33"/>
                    <w:rPr>
                      <w:color w:val="auto"/>
                    </w:rPr>
                  </w:pPr>
                  <w:r>
                    <w:rPr>
                      <w:rFonts w:hint="eastAsia"/>
                      <w:color w:val="auto"/>
                    </w:rPr>
                    <w:t>17</w:t>
                  </w:r>
                </w:p>
              </w:tc>
              <w:tc>
                <w:tcPr>
                  <w:tcW w:w="942" w:type="pct"/>
                  <w:tcBorders>
                    <w:tl2br w:val="nil"/>
                    <w:tr2bl w:val="nil"/>
                  </w:tcBorders>
                  <w:vAlign w:val="center"/>
                </w:tcPr>
                <w:p w14:paraId="48F5BD1E">
                  <w:pPr>
                    <w:pStyle w:val="33"/>
                    <w:rPr>
                      <w:color w:val="auto"/>
                    </w:rPr>
                  </w:pPr>
                  <w:r>
                    <w:rPr>
                      <w:rFonts w:hint="eastAsia"/>
                      <w:color w:val="auto"/>
                    </w:rPr>
                    <w:t>辣椒粉</w:t>
                  </w:r>
                </w:p>
              </w:tc>
              <w:tc>
                <w:tcPr>
                  <w:tcW w:w="871" w:type="pct"/>
                  <w:tcBorders>
                    <w:tl2br w:val="nil"/>
                    <w:tr2bl w:val="nil"/>
                  </w:tcBorders>
                  <w:vAlign w:val="center"/>
                </w:tcPr>
                <w:p w14:paraId="1664F946">
                  <w:pPr>
                    <w:pStyle w:val="33"/>
                    <w:rPr>
                      <w:color w:val="auto"/>
                    </w:rPr>
                  </w:pPr>
                  <w:r>
                    <w:rPr>
                      <w:rFonts w:hint="eastAsia"/>
                      <w:color w:val="auto"/>
                    </w:rPr>
                    <w:t>2.1t</w:t>
                  </w:r>
                  <w:r>
                    <w:rPr>
                      <w:color w:val="auto"/>
                    </w:rPr>
                    <w:t>/a</w:t>
                  </w:r>
                </w:p>
              </w:tc>
              <w:tc>
                <w:tcPr>
                  <w:tcW w:w="765" w:type="pct"/>
                  <w:tcBorders>
                    <w:tl2br w:val="nil"/>
                    <w:tr2bl w:val="nil"/>
                  </w:tcBorders>
                  <w:vAlign w:val="center"/>
                </w:tcPr>
                <w:p w14:paraId="3ABBAFF2">
                  <w:pPr>
                    <w:pStyle w:val="33"/>
                    <w:rPr>
                      <w:color w:val="auto"/>
                    </w:rPr>
                  </w:pPr>
                  <w:r>
                    <w:rPr>
                      <w:rFonts w:hint="eastAsia"/>
                      <w:color w:val="auto"/>
                    </w:rPr>
                    <w:t>25kg/袋</w:t>
                  </w:r>
                </w:p>
              </w:tc>
              <w:tc>
                <w:tcPr>
                  <w:tcW w:w="575" w:type="pct"/>
                  <w:tcBorders>
                    <w:tl2br w:val="nil"/>
                    <w:tr2bl w:val="nil"/>
                  </w:tcBorders>
                  <w:vAlign w:val="center"/>
                </w:tcPr>
                <w:p w14:paraId="4D59B59F">
                  <w:pPr>
                    <w:pStyle w:val="33"/>
                    <w:rPr>
                      <w:color w:val="auto"/>
                    </w:rPr>
                  </w:pPr>
                  <w:r>
                    <w:rPr>
                      <w:rFonts w:hint="eastAsia"/>
                      <w:color w:val="auto"/>
                    </w:rPr>
                    <w:t>0.25t</w:t>
                  </w:r>
                </w:p>
              </w:tc>
              <w:tc>
                <w:tcPr>
                  <w:tcW w:w="1498" w:type="pct"/>
                  <w:tcBorders>
                    <w:tl2br w:val="nil"/>
                    <w:tr2bl w:val="nil"/>
                  </w:tcBorders>
                  <w:vAlign w:val="center"/>
                </w:tcPr>
                <w:p w14:paraId="05998562">
                  <w:pPr>
                    <w:pStyle w:val="33"/>
                    <w:rPr>
                      <w:color w:val="auto"/>
                    </w:rPr>
                  </w:pPr>
                  <w:r>
                    <w:rPr>
                      <w:rFonts w:hint="eastAsia"/>
                      <w:color w:val="auto"/>
                    </w:rPr>
                    <w:t>袋装，密闭防潮存放</w:t>
                  </w:r>
                </w:p>
              </w:tc>
            </w:tr>
            <w:tr w14:paraId="3FBD40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7C77D48C">
                  <w:pPr>
                    <w:pStyle w:val="33"/>
                    <w:rPr>
                      <w:color w:val="auto"/>
                    </w:rPr>
                  </w:pPr>
                  <w:r>
                    <w:rPr>
                      <w:rFonts w:hint="eastAsia"/>
                      <w:color w:val="auto"/>
                    </w:rPr>
                    <w:t>18</w:t>
                  </w:r>
                </w:p>
              </w:tc>
              <w:tc>
                <w:tcPr>
                  <w:tcW w:w="942" w:type="pct"/>
                  <w:tcBorders>
                    <w:tl2br w:val="nil"/>
                    <w:tr2bl w:val="nil"/>
                  </w:tcBorders>
                  <w:vAlign w:val="center"/>
                </w:tcPr>
                <w:p w14:paraId="1C21F254">
                  <w:pPr>
                    <w:pStyle w:val="33"/>
                    <w:rPr>
                      <w:color w:val="auto"/>
                    </w:rPr>
                  </w:pPr>
                  <w:r>
                    <w:rPr>
                      <w:rFonts w:hint="eastAsia"/>
                      <w:color w:val="auto"/>
                    </w:rPr>
                    <w:t>胡椒粉</w:t>
                  </w:r>
                </w:p>
              </w:tc>
              <w:tc>
                <w:tcPr>
                  <w:tcW w:w="871" w:type="pct"/>
                  <w:tcBorders>
                    <w:tl2br w:val="nil"/>
                    <w:tr2bl w:val="nil"/>
                  </w:tcBorders>
                  <w:vAlign w:val="center"/>
                </w:tcPr>
                <w:p w14:paraId="5D5A308B">
                  <w:pPr>
                    <w:pStyle w:val="33"/>
                    <w:rPr>
                      <w:color w:val="auto"/>
                    </w:rPr>
                  </w:pPr>
                  <w:r>
                    <w:rPr>
                      <w:rFonts w:hint="eastAsia"/>
                      <w:color w:val="auto"/>
                    </w:rPr>
                    <w:t>2t</w:t>
                  </w:r>
                  <w:r>
                    <w:rPr>
                      <w:color w:val="auto"/>
                    </w:rPr>
                    <w:t>/a</w:t>
                  </w:r>
                </w:p>
              </w:tc>
              <w:tc>
                <w:tcPr>
                  <w:tcW w:w="765" w:type="pct"/>
                  <w:tcBorders>
                    <w:tl2br w:val="nil"/>
                    <w:tr2bl w:val="nil"/>
                  </w:tcBorders>
                  <w:vAlign w:val="center"/>
                </w:tcPr>
                <w:p w14:paraId="68052EE4">
                  <w:pPr>
                    <w:pStyle w:val="33"/>
                    <w:rPr>
                      <w:color w:val="auto"/>
                    </w:rPr>
                  </w:pPr>
                  <w:r>
                    <w:rPr>
                      <w:rFonts w:hint="eastAsia"/>
                      <w:color w:val="auto"/>
                    </w:rPr>
                    <w:t>25kg/袋</w:t>
                  </w:r>
                </w:p>
              </w:tc>
              <w:tc>
                <w:tcPr>
                  <w:tcW w:w="575" w:type="pct"/>
                  <w:tcBorders>
                    <w:tl2br w:val="nil"/>
                    <w:tr2bl w:val="nil"/>
                  </w:tcBorders>
                  <w:vAlign w:val="center"/>
                </w:tcPr>
                <w:p w14:paraId="29E4DE56">
                  <w:pPr>
                    <w:pStyle w:val="33"/>
                    <w:rPr>
                      <w:color w:val="auto"/>
                    </w:rPr>
                  </w:pPr>
                  <w:r>
                    <w:rPr>
                      <w:rFonts w:hint="eastAsia"/>
                      <w:color w:val="auto"/>
                    </w:rPr>
                    <w:t>0.25t</w:t>
                  </w:r>
                </w:p>
              </w:tc>
              <w:tc>
                <w:tcPr>
                  <w:tcW w:w="1498" w:type="pct"/>
                  <w:tcBorders>
                    <w:tl2br w:val="nil"/>
                    <w:tr2bl w:val="nil"/>
                  </w:tcBorders>
                  <w:vAlign w:val="center"/>
                </w:tcPr>
                <w:p w14:paraId="4C32463C">
                  <w:pPr>
                    <w:pStyle w:val="33"/>
                    <w:rPr>
                      <w:color w:val="auto"/>
                    </w:rPr>
                  </w:pPr>
                  <w:r>
                    <w:rPr>
                      <w:rFonts w:hint="eastAsia"/>
                      <w:color w:val="auto"/>
                    </w:rPr>
                    <w:t>袋装，密闭防潮存放</w:t>
                  </w:r>
                </w:p>
              </w:tc>
            </w:tr>
            <w:tr w14:paraId="36EC34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5A509975">
                  <w:pPr>
                    <w:pStyle w:val="33"/>
                    <w:rPr>
                      <w:color w:val="auto"/>
                    </w:rPr>
                  </w:pPr>
                  <w:r>
                    <w:rPr>
                      <w:rFonts w:hint="eastAsia"/>
                      <w:color w:val="auto"/>
                    </w:rPr>
                    <w:t>19</w:t>
                  </w:r>
                </w:p>
              </w:tc>
              <w:tc>
                <w:tcPr>
                  <w:tcW w:w="942" w:type="pct"/>
                  <w:tcBorders>
                    <w:tl2br w:val="nil"/>
                    <w:tr2bl w:val="nil"/>
                  </w:tcBorders>
                  <w:vAlign w:val="center"/>
                </w:tcPr>
                <w:p w14:paraId="611BF4F2">
                  <w:pPr>
                    <w:pStyle w:val="33"/>
                    <w:rPr>
                      <w:color w:val="auto"/>
                    </w:rPr>
                  </w:pPr>
                  <w:r>
                    <w:rPr>
                      <w:rFonts w:hint="eastAsia"/>
                      <w:color w:val="auto"/>
                    </w:rPr>
                    <w:t>花椒粉</w:t>
                  </w:r>
                </w:p>
              </w:tc>
              <w:tc>
                <w:tcPr>
                  <w:tcW w:w="871" w:type="pct"/>
                  <w:tcBorders>
                    <w:tl2br w:val="nil"/>
                    <w:tr2bl w:val="nil"/>
                  </w:tcBorders>
                  <w:vAlign w:val="center"/>
                </w:tcPr>
                <w:p w14:paraId="0890C0C8">
                  <w:pPr>
                    <w:pStyle w:val="33"/>
                    <w:rPr>
                      <w:color w:val="auto"/>
                    </w:rPr>
                  </w:pPr>
                  <w:r>
                    <w:rPr>
                      <w:rFonts w:hint="eastAsia"/>
                      <w:color w:val="auto"/>
                    </w:rPr>
                    <w:t>2t</w:t>
                  </w:r>
                  <w:r>
                    <w:rPr>
                      <w:color w:val="auto"/>
                    </w:rPr>
                    <w:t>/a</w:t>
                  </w:r>
                </w:p>
              </w:tc>
              <w:tc>
                <w:tcPr>
                  <w:tcW w:w="765" w:type="pct"/>
                  <w:tcBorders>
                    <w:tl2br w:val="nil"/>
                    <w:tr2bl w:val="nil"/>
                  </w:tcBorders>
                  <w:vAlign w:val="center"/>
                </w:tcPr>
                <w:p w14:paraId="34407C78">
                  <w:pPr>
                    <w:pStyle w:val="33"/>
                    <w:rPr>
                      <w:color w:val="auto"/>
                    </w:rPr>
                  </w:pPr>
                  <w:r>
                    <w:rPr>
                      <w:rFonts w:hint="eastAsia"/>
                      <w:color w:val="auto"/>
                    </w:rPr>
                    <w:t>25kg/袋</w:t>
                  </w:r>
                </w:p>
              </w:tc>
              <w:tc>
                <w:tcPr>
                  <w:tcW w:w="575" w:type="pct"/>
                  <w:tcBorders>
                    <w:tl2br w:val="nil"/>
                    <w:tr2bl w:val="nil"/>
                  </w:tcBorders>
                  <w:vAlign w:val="center"/>
                </w:tcPr>
                <w:p w14:paraId="28F3C9D5">
                  <w:pPr>
                    <w:pStyle w:val="33"/>
                    <w:rPr>
                      <w:color w:val="auto"/>
                    </w:rPr>
                  </w:pPr>
                  <w:r>
                    <w:rPr>
                      <w:rFonts w:hint="eastAsia"/>
                      <w:color w:val="auto"/>
                    </w:rPr>
                    <w:t>0.25t</w:t>
                  </w:r>
                </w:p>
              </w:tc>
              <w:tc>
                <w:tcPr>
                  <w:tcW w:w="1498" w:type="pct"/>
                  <w:tcBorders>
                    <w:tl2br w:val="nil"/>
                    <w:tr2bl w:val="nil"/>
                  </w:tcBorders>
                  <w:vAlign w:val="center"/>
                </w:tcPr>
                <w:p w14:paraId="2B92B9BC">
                  <w:pPr>
                    <w:pStyle w:val="33"/>
                    <w:rPr>
                      <w:color w:val="auto"/>
                    </w:rPr>
                  </w:pPr>
                  <w:r>
                    <w:rPr>
                      <w:rFonts w:hint="eastAsia"/>
                      <w:color w:val="auto"/>
                    </w:rPr>
                    <w:t>袋装，密闭防潮存放</w:t>
                  </w:r>
                </w:p>
              </w:tc>
            </w:tr>
            <w:tr w14:paraId="55A095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1EA5AAE6">
                  <w:pPr>
                    <w:pStyle w:val="33"/>
                    <w:rPr>
                      <w:color w:val="auto"/>
                    </w:rPr>
                  </w:pPr>
                  <w:r>
                    <w:rPr>
                      <w:rFonts w:hint="eastAsia"/>
                      <w:color w:val="auto"/>
                    </w:rPr>
                    <w:t>20</w:t>
                  </w:r>
                </w:p>
              </w:tc>
              <w:tc>
                <w:tcPr>
                  <w:tcW w:w="942" w:type="pct"/>
                  <w:tcBorders>
                    <w:tl2br w:val="nil"/>
                    <w:tr2bl w:val="nil"/>
                  </w:tcBorders>
                  <w:vAlign w:val="center"/>
                </w:tcPr>
                <w:p w14:paraId="549A0216">
                  <w:pPr>
                    <w:pStyle w:val="33"/>
                    <w:rPr>
                      <w:color w:val="auto"/>
                    </w:rPr>
                  </w:pPr>
                  <w:r>
                    <w:rPr>
                      <w:rFonts w:hint="eastAsia"/>
                      <w:color w:val="auto"/>
                    </w:rPr>
                    <w:t>酵母抽提物</w:t>
                  </w:r>
                </w:p>
              </w:tc>
              <w:tc>
                <w:tcPr>
                  <w:tcW w:w="871" w:type="pct"/>
                  <w:tcBorders>
                    <w:tl2br w:val="nil"/>
                    <w:tr2bl w:val="nil"/>
                  </w:tcBorders>
                  <w:vAlign w:val="center"/>
                </w:tcPr>
                <w:p w14:paraId="334ED93D">
                  <w:pPr>
                    <w:pStyle w:val="33"/>
                    <w:rPr>
                      <w:color w:val="auto"/>
                    </w:rPr>
                  </w:pPr>
                  <w:r>
                    <w:rPr>
                      <w:rFonts w:hint="eastAsia"/>
                      <w:color w:val="auto"/>
                    </w:rPr>
                    <w:t>0.0</w:t>
                  </w:r>
                  <w:r>
                    <w:rPr>
                      <w:rFonts w:hint="eastAsia"/>
                      <w:color w:val="auto"/>
                      <w:lang w:val="en-US" w:eastAsia="zh-CN"/>
                    </w:rPr>
                    <w:t>6</w:t>
                  </w:r>
                  <w:r>
                    <w:rPr>
                      <w:rFonts w:hint="eastAsia"/>
                      <w:color w:val="auto"/>
                    </w:rPr>
                    <w:t>t</w:t>
                  </w:r>
                  <w:r>
                    <w:rPr>
                      <w:color w:val="auto"/>
                    </w:rPr>
                    <w:t>/a</w:t>
                  </w:r>
                </w:p>
              </w:tc>
              <w:tc>
                <w:tcPr>
                  <w:tcW w:w="765" w:type="pct"/>
                  <w:tcBorders>
                    <w:tl2br w:val="nil"/>
                    <w:tr2bl w:val="nil"/>
                  </w:tcBorders>
                  <w:vAlign w:val="center"/>
                </w:tcPr>
                <w:p w14:paraId="72F0CB6E">
                  <w:pPr>
                    <w:pStyle w:val="33"/>
                    <w:rPr>
                      <w:color w:val="auto"/>
                    </w:rPr>
                  </w:pPr>
                  <w:r>
                    <w:rPr>
                      <w:rFonts w:hint="eastAsia"/>
                      <w:color w:val="auto"/>
                    </w:rPr>
                    <w:t>20kg/桶</w:t>
                  </w:r>
                </w:p>
              </w:tc>
              <w:tc>
                <w:tcPr>
                  <w:tcW w:w="575" w:type="pct"/>
                  <w:tcBorders>
                    <w:tl2br w:val="nil"/>
                    <w:tr2bl w:val="nil"/>
                  </w:tcBorders>
                  <w:vAlign w:val="center"/>
                </w:tcPr>
                <w:p w14:paraId="1AB925BD">
                  <w:pPr>
                    <w:pStyle w:val="33"/>
                    <w:rPr>
                      <w:color w:val="auto"/>
                    </w:rPr>
                  </w:pPr>
                  <w:r>
                    <w:rPr>
                      <w:rFonts w:hint="eastAsia"/>
                      <w:color w:val="auto"/>
                    </w:rPr>
                    <w:t>0.0</w:t>
                  </w:r>
                  <w:r>
                    <w:rPr>
                      <w:rFonts w:hint="eastAsia"/>
                      <w:color w:val="auto"/>
                      <w:lang w:val="en-US" w:eastAsia="zh-CN"/>
                    </w:rPr>
                    <w:t>2</w:t>
                  </w:r>
                  <w:r>
                    <w:rPr>
                      <w:rFonts w:hint="eastAsia"/>
                      <w:color w:val="auto"/>
                    </w:rPr>
                    <w:t>t</w:t>
                  </w:r>
                </w:p>
              </w:tc>
              <w:tc>
                <w:tcPr>
                  <w:tcW w:w="1498" w:type="pct"/>
                  <w:tcBorders>
                    <w:tl2br w:val="nil"/>
                    <w:tr2bl w:val="nil"/>
                  </w:tcBorders>
                  <w:vAlign w:val="center"/>
                </w:tcPr>
                <w:p w14:paraId="4BE970FE">
                  <w:pPr>
                    <w:pStyle w:val="33"/>
                    <w:rPr>
                      <w:color w:val="auto"/>
                    </w:rPr>
                  </w:pPr>
                  <w:r>
                    <w:rPr>
                      <w:rFonts w:hint="eastAsia"/>
                      <w:color w:val="auto"/>
                    </w:rPr>
                    <w:t>原包装密封存放</w:t>
                  </w:r>
                </w:p>
              </w:tc>
            </w:tr>
            <w:tr w14:paraId="0619EE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0CA70353">
                  <w:pPr>
                    <w:pStyle w:val="33"/>
                    <w:rPr>
                      <w:color w:val="auto"/>
                    </w:rPr>
                  </w:pPr>
                  <w:r>
                    <w:rPr>
                      <w:rFonts w:hint="eastAsia"/>
                      <w:color w:val="auto"/>
                    </w:rPr>
                    <w:t>21</w:t>
                  </w:r>
                </w:p>
              </w:tc>
              <w:tc>
                <w:tcPr>
                  <w:tcW w:w="942" w:type="pct"/>
                  <w:tcBorders>
                    <w:tl2br w:val="nil"/>
                    <w:tr2bl w:val="nil"/>
                  </w:tcBorders>
                  <w:vAlign w:val="center"/>
                </w:tcPr>
                <w:p w14:paraId="7E3736A7">
                  <w:pPr>
                    <w:pStyle w:val="33"/>
                    <w:rPr>
                      <w:color w:val="auto"/>
                    </w:rPr>
                  </w:pPr>
                  <w:r>
                    <w:rPr>
                      <w:rFonts w:hint="eastAsia"/>
                      <w:color w:val="auto"/>
                    </w:rPr>
                    <w:t>香叶</w:t>
                  </w:r>
                </w:p>
              </w:tc>
              <w:tc>
                <w:tcPr>
                  <w:tcW w:w="871" w:type="pct"/>
                  <w:tcBorders>
                    <w:tl2br w:val="nil"/>
                    <w:tr2bl w:val="nil"/>
                  </w:tcBorders>
                  <w:vAlign w:val="center"/>
                </w:tcPr>
                <w:p w14:paraId="2738AB04">
                  <w:pPr>
                    <w:pStyle w:val="33"/>
                    <w:rPr>
                      <w:color w:val="auto"/>
                    </w:rPr>
                  </w:pPr>
                  <w:r>
                    <w:rPr>
                      <w:rFonts w:hint="eastAsia"/>
                      <w:color w:val="auto"/>
                    </w:rPr>
                    <w:t>0.5</w:t>
                  </w:r>
                  <w:r>
                    <w:rPr>
                      <w:rFonts w:hint="eastAsia"/>
                      <w:color w:val="auto"/>
                      <w:lang w:val="en-US" w:eastAsia="zh-CN"/>
                    </w:rPr>
                    <w:t>9</w:t>
                  </w:r>
                  <w:r>
                    <w:rPr>
                      <w:rFonts w:hint="eastAsia"/>
                      <w:color w:val="auto"/>
                    </w:rPr>
                    <w:t>t</w:t>
                  </w:r>
                  <w:r>
                    <w:rPr>
                      <w:color w:val="auto"/>
                    </w:rPr>
                    <w:t>/a</w:t>
                  </w:r>
                </w:p>
              </w:tc>
              <w:tc>
                <w:tcPr>
                  <w:tcW w:w="765" w:type="pct"/>
                  <w:tcBorders>
                    <w:tl2br w:val="nil"/>
                    <w:tr2bl w:val="nil"/>
                  </w:tcBorders>
                  <w:vAlign w:val="center"/>
                </w:tcPr>
                <w:p w14:paraId="44058627">
                  <w:pPr>
                    <w:pStyle w:val="33"/>
                    <w:rPr>
                      <w:color w:val="auto"/>
                    </w:rPr>
                  </w:pPr>
                  <w:r>
                    <w:rPr>
                      <w:rFonts w:hint="eastAsia"/>
                      <w:color w:val="auto"/>
                    </w:rPr>
                    <w:t>10kg/袋</w:t>
                  </w:r>
                </w:p>
              </w:tc>
              <w:tc>
                <w:tcPr>
                  <w:tcW w:w="575" w:type="pct"/>
                  <w:tcBorders>
                    <w:tl2br w:val="nil"/>
                    <w:tr2bl w:val="nil"/>
                  </w:tcBorders>
                  <w:vAlign w:val="center"/>
                </w:tcPr>
                <w:p w14:paraId="22F86DDF">
                  <w:pPr>
                    <w:pStyle w:val="33"/>
                    <w:rPr>
                      <w:color w:val="auto"/>
                    </w:rPr>
                  </w:pPr>
                  <w:r>
                    <w:rPr>
                      <w:rFonts w:hint="eastAsia"/>
                      <w:color w:val="auto"/>
                    </w:rPr>
                    <w:t>0.08t</w:t>
                  </w:r>
                </w:p>
              </w:tc>
              <w:tc>
                <w:tcPr>
                  <w:tcW w:w="1498" w:type="pct"/>
                  <w:tcBorders>
                    <w:tl2br w:val="nil"/>
                    <w:tr2bl w:val="nil"/>
                  </w:tcBorders>
                  <w:vAlign w:val="center"/>
                </w:tcPr>
                <w:p w14:paraId="2F9BC679">
                  <w:pPr>
                    <w:pStyle w:val="33"/>
                    <w:rPr>
                      <w:color w:val="auto"/>
                    </w:rPr>
                  </w:pPr>
                  <w:r>
                    <w:rPr>
                      <w:rFonts w:hint="eastAsia"/>
                      <w:color w:val="auto"/>
                    </w:rPr>
                    <w:t>袋装，干燥存放</w:t>
                  </w:r>
                </w:p>
              </w:tc>
            </w:tr>
            <w:tr w14:paraId="37D329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2BD4A127">
                  <w:pPr>
                    <w:pStyle w:val="33"/>
                    <w:rPr>
                      <w:color w:val="auto"/>
                    </w:rPr>
                  </w:pPr>
                  <w:r>
                    <w:rPr>
                      <w:rFonts w:hint="eastAsia"/>
                      <w:color w:val="auto"/>
                    </w:rPr>
                    <w:t>22</w:t>
                  </w:r>
                </w:p>
              </w:tc>
              <w:tc>
                <w:tcPr>
                  <w:tcW w:w="942" w:type="pct"/>
                  <w:tcBorders>
                    <w:tl2br w:val="nil"/>
                    <w:tr2bl w:val="nil"/>
                  </w:tcBorders>
                  <w:vAlign w:val="center"/>
                </w:tcPr>
                <w:p w14:paraId="17372199">
                  <w:pPr>
                    <w:pStyle w:val="33"/>
                    <w:rPr>
                      <w:color w:val="auto"/>
                    </w:rPr>
                  </w:pPr>
                  <w:r>
                    <w:rPr>
                      <w:rFonts w:hint="eastAsia"/>
                      <w:color w:val="auto"/>
                    </w:rPr>
                    <w:t>沙姜</w:t>
                  </w:r>
                </w:p>
              </w:tc>
              <w:tc>
                <w:tcPr>
                  <w:tcW w:w="871" w:type="pct"/>
                  <w:tcBorders>
                    <w:tl2br w:val="nil"/>
                    <w:tr2bl w:val="nil"/>
                  </w:tcBorders>
                  <w:vAlign w:val="center"/>
                </w:tcPr>
                <w:p w14:paraId="3910A88C">
                  <w:pPr>
                    <w:pStyle w:val="33"/>
                    <w:rPr>
                      <w:color w:val="auto"/>
                    </w:rPr>
                  </w:pPr>
                  <w:r>
                    <w:rPr>
                      <w:rFonts w:hint="eastAsia"/>
                      <w:color w:val="auto"/>
                    </w:rPr>
                    <w:t>0.4</w:t>
                  </w:r>
                  <w:r>
                    <w:rPr>
                      <w:rFonts w:hint="eastAsia"/>
                      <w:color w:val="auto"/>
                      <w:lang w:val="en-US" w:eastAsia="zh-CN"/>
                    </w:rPr>
                    <w:t>5</w:t>
                  </w:r>
                  <w:r>
                    <w:rPr>
                      <w:rFonts w:hint="eastAsia"/>
                      <w:color w:val="auto"/>
                    </w:rPr>
                    <w:t>t</w:t>
                  </w:r>
                  <w:r>
                    <w:rPr>
                      <w:color w:val="auto"/>
                    </w:rPr>
                    <w:t>/a</w:t>
                  </w:r>
                </w:p>
              </w:tc>
              <w:tc>
                <w:tcPr>
                  <w:tcW w:w="765" w:type="pct"/>
                  <w:tcBorders>
                    <w:tl2br w:val="nil"/>
                    <w:tr2bl w:val="nil"/>
                  </w:tcBorders>
                  <w:vAlign w:val="center"/>
                </w:tcPr>
                <w:p w14:paraId="4F1EE504">
                  <w:pPr>
                    <w:pStyle w:val="33"/>
                    <w:rPr>
                      <w:color w:val="auto"/>
                    </w:rPr>
                  </w:pPr>
                  <w:r>
                    <w:rPr>
                      <w:rFonts w:hint="eastAsia"/>
                      <w:color w:val="auto"/>
                    </w:rPr>
                    <w:t>25kg/袋</w:t>
                  </w:r>
                </w:p>
              </w:tc>
              <w:tc>
                <w:tcPr>
                  <w:tcW w:w="575" w:type="pct"/>
                  <w:tcBorders>
                    <w:tl2br w:val="nil"/>
                    <w:tr2bl w:val="nil"/>
                  </w:tcBorders>
                  <w:vAlign w:val="center"/>
                </w:tcPr>
                <w:p w14:paraId="6F44A257">
                  <w:pPr>
                    <w:pStyle w:val="33"/>
                    <w:rPr>
                      <w:color w:val="auto"/>
                    </w:rPr>
                  </w:pPr>
                  <w:r>
                    <w:rPr>
                      <w:rFonts w:hint="eastAsia"/>
                      <w:color w:val="auto"/>
                    </w:rPr>
                    <w:t>0.05t</w:t>
                  </w:r>
                </w:p>
              </w:tc>
              <w:tc>
                <w:tcPr>
                  <w:tcW w:w="1498" w:type="pct"/>
                  <w:tcBorders>
                    <w:tl2br w:val="nil"/>
                    <w:tr2bl w:val="nil"/>
                  </w:tcBorders>
                  <w:vAlign w:val="center"/>
                </w:tcPr>
                <w:p w14:paraId="3714E648">
                  <w:pPr>
                    <w:pStyle w:val="33"/>
                    <w:rPr>
                      <w:color w:val="auto"/>
                    </w:rPr>
                  </w:pPr>
                  <w:r>
                    <w:rPr>
                      <w:rFonts w:hint="eastAsia"/>
                      <w:color w:val="auto"/>
                    </w:rPr>
                    <w:t>袋装，干燥存放</w:t>
                  </w:r>
                </w:p>
              </w:tc>
            </w:tr>
            <w:tr w14:paraId="1A5B10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3AEFE3CB">
                  <w:pPr>
                    <w:pStyle w:val="33"/>
                    <w:rPr>
                      <w:color w:val="auto"/>
                    </w:rPr>
                  </w:pPr>
                  <w:r>
                    <w:rPr>
                      <w:rFonts w:hint="eastAsia"/>
                      <w:color w:val="auto"/>
                    </w:rPr>
                    <w:t>23</w:t>
                  </w:r>
                </w:p>
              </w:tc>
              <w:tc>
                <w:tcPr>
                  <w:tcW w:w="942" w:type="pct"/>
                  <w:tcBorders>
                    <w:tl2br w:val="nil"/>
                    <w:tr2bl w:val="nil"/>
                  </w:tcBorders>
                  <w:vAlign w:val="center"/>
                </w:tcPr>
                <w:p w14:paraId="2002BD56">
                  <w:pPr>
                    <w:pStyle w:val="33"/>
                    <w:rPr>
                      <w:color w:val="auto"/>
                    </w:rPr>
                  </w:pPr>
                  <w:r>
                    <w:rPr>
                      <w:rFonts w:hint="eastAsia"/>
                      <w:color w:val="auto"/>
                    </w:rPr>
                    <w:t>八角</w:t>
                  </w:r>
                </w:p>
              </w:tc>
              <w:tc>
                <w:tcPr>
                  <w:tcW w:w="871" w:type="pct"/>
                  <w:tcBorders>
                    <w:tl2br w:val="nil"/>
                    <w:tr2bl w:val="nil"/>
                  </w:tcBorders>
                  <w:vAlign w:val="center"/>
                </w:tcPr>
                <w:p w14:paraId="242656DF">
                  <w:pPr>
                    <w:pStyle w:val="33"/>
                    <w:rPr>
                      <w:color w:val="auto"/>
                    </w:rPr>
                  </w:pPr>
                  <w:r>
                    <w:rPr>
                      <w:rFonts w:hint="eastAsia"/>
                      <w:color w:val="auto"/>
                    </w:rPr>
                    <w:t>0.</w:t>
                  </w:r>
                  <w:r>
                    <w:rPr>
                      <w:rFonts w:hint="eastAsia"/>
                      <w:color w:val="auto"/>
                      <w:lang w:val="en-US" w:eastAsia="zh-CN"/>
                    </w:rPr>
                    <w:t>40</w:t>
                  </w:r>
                  <w:r>
                    <w:rPr>
                      <w:rFonts w:hint="eastAsia"/>
                      <w:color w:val="auto"/>
                    </w:rPr>
                    <w:t>t</w:t>
                  </w:r>
                  <w:r>
                    <w:rPr>
                      <w:color w:val="auto"/>
                    </w:rPr>
                    <w:t>/a</w:t>
                  </w:r>
                </w:p>
              </w:tc>
              <w:tc>
                <w:tcPr>
                  <w:tcW w:w="765" w:type="pct"/>
                  <w:tcBorders>
                    <w:tl2br w:val="nil"/>
                    <w:tr2bl w:val="nil"/>
                  </w:tcBorders>
                  <w:vAlign w:val="center"/>
                </w:tcPr>
                <w:p w14:paraId="6DDF7F8D">
                  <w:pPr>
                    <w:pStyle w:val="33"/>
                    <w:rPr>
                      <w:color w:val="auto"/>
                    </w:rPr>
                  </w:pPr>
                  <w:r>
                    <w:rPr>
                      <w:rFonts w:hint="eastAsia"/>
                      <w:color w:val="auto"/>
                    </w:rPr>
                    <w:t>25kg/袋</w:t>
                  </w:r>
                </w:p>
              </w:tc>
              <w:tc>
                <w:tcPr>
                  <w:tcW w:w="575" w:type="pct"/>
                  <w:tcBorders>
                    <w:tl2br w:val="nil"/>
                    <w:tr2bl w:val="nil"/>
                  </w:tcBorders>
                  <w:vAlign w:val="center"/>
                </w:tcPr>
                <w:p w14:paraId="322D3C8F">
                  <w:pPr>
                    <w:pStyle w:val="33"/>
                    <w:rPr>
                      <w:color w:val="auto"/>
                    </w:rPr>
                  </w:pPr>
                  <w:r>
                    <w:rPr>
                      <w:rFonts w:hint="eastAsia"/>
                      <w:color w:val="auto"/>
                    </w:rPr>
                    <w:t>0.05t</w:t>
                  </w:r>
                </w:p>
              </w:tc>
              <w:tc>
                <w:tcPr>
                  <w:tcW w:w="1498" w:type="pct"/>
                  <w:tcBorders>
                    <w:tl2br w:val="nil"/>
                    <w:tr2bl w:val="nil"/>
                  </w:tcBorders>
                  <w:vAlign w:val="center"/>
                </w:tcPr>
                <w:p w14:paraId="0C790901">
                  <w:pPr>
                    <w:pStyle w:val="33"/>
                    <w:rPr>
                      <w:color w:val="auto"/>
                    </w:rPr>
                  </w:pPr>
                  <w:r>
                    <w:rPr>
                      <w:rFonts w:hint="eastAsia"/>
                      <w:color w:val="auto"/>
                    </w:rPr>
                    <w:t>袋装，干燥存放</w:t>
                  </w:r>
                </w:p>
              </w:tc>
            </w:tr>
            <w:tr w14:paraId="11DB63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329BA839">
                  <w:pPr>
                    <w:pStyle w:val="33"/>
                    <w:rPr>
                      <w:color w:val="auto"/>
                    </w:rPr>
                  </w:pPr>
                  <w:r>
                    <w:rPr>
                      <w:rFonts w:hint="eastAsia"/>
                      <w:color w:val="auto"/>
                    </w:rPr>
                    <w:t>24</w:t>
                  </w:r>
                </w:p>
              </w:tc>
              <w:tc>
                <w:tcPr>
                  <w:tcW w:w="942" w:type="pct"/>
                  <w:tcBorders>
                    <w:tl2br w:val="nil"/>
                    <w:tr2bl w:val="nil"/>
                  </w:tcBorders>
                  <w:vAlign w:val="center"/>
                </w:tcPr>
                <w:p w14:paraId="1891515A">
                  <w:pPr>
                    <w:pStyle w:val="33"/>
                    <w:rPr>
                      <w:color w:val="auto"/>
                    </w:rPr>
                  </w:pPr>
                  <w:r>
                    <w:rPr>
                      <w:rFonts w:hint="eastAsia"/>
                      <w:color w:val="auto"/>
                    </w:rPr>
                    <w:t>桂皮</w:t>
                  </w:r>
                </w:p>
              </w:tc>
              <w:tc>
                <w:tcPr>
                  <w:tcW w:w="871" w:type="pct"/>
                  <w:tcBorders>
                    <w:tl2br w:val="nil"/>
                    <w:tr2bl w:val="nil"/>
                  </w:tcBorders>
                  <w:vAlign w:val="center"/>
                </w:tcPr>
                <w:p w14:paraId="19EA977B">
                  <w:pPr>
                    <w:pStyle w:val="33"/>
                    <w:rPr>
                      <w:color w:val="auto"/>
                    </w:rPr>
                  </w:pPr>
                  <w:r>
                    <w:rPr>
                      <w:rFonts w:hint="eastAsia"/>
                      <w:color w:val="auto"/>
                    </w:rPr>
                    <w:t>0.3</w:t>
                  </w:r>
                  <w:r>
                    <w:rPr>
                      <w:rFonts w:hint="eastAsia"/>
                      <w:color w:val="auto"/>
                      <w:lang w:val="en-US" w:eastAsia="zh-CN"/>
                    </w:rPr>
                    <w:t>5</w:t>
                  </w:r>
                  <w:r>
                    <w:rPr>
                      <w:rFonts w:hint="eastAsia"/>
                      <w:color w:val="auto"/>
                    </w:rPr>
                    <w:t>t</w:t>
                  </w:r>
                  <w:r>
                    <w:rPr>
                      <w:color w:val="auto"/>
                    </w:rPr>
                    <w:t>/a</w:t>
                  </w:r>
                </w:p>
              </w:tc>
              <w:tc>
                <w:tcPr>
                  <w:tcW w:w="765" w:type="pct"/>
                  <w:tcBorders>
                    <w:tl2br w:val="nil"/>
                    <w:tr2bl w:val="nil"/>
                  </w:tcBorders>
                  <w:vAlign w:val="center"/>
                </w:tcPr>
                <w:p w14:paraId="57C1FC7C">
                  <w:pPr>
                    <w:pStyle w:val="33"/>
                    <w:rPr>
                      <w:color w:val="auto"/>
                    </w:rPr>
                  </w:pPr>
                  <w:r>
                    <w:rPr>
                      <w:rFonts w:hint="eastAsia"/>
                      <w:color w:val="auto"/>
                    </w:rPr>
                    <w:t>25kg/袋</w:t>
                  </w:r>
                </w:p>
              </w:tc>
              <w:tc>
                <w:tcPr>
                  <w:tcW w:w="575" w:type="pct"/>
                  <w:tcBorders>
                    <w:tl2br w:val="nil"/>
                    <w:tr2bl w:val="nil"/>
                  </w:tcBorders>
                  <w:vAlign w:val="center"/>
                </w:tcPr>
                <w:p w14:paraId="480000BB">
                  <w:pPr>
                    <w:pStyle w:val="33"/>
                    <w:rPr>
                      <w:color w:val="auto"/>
                    </w:rPr>
                  </w:pPr>
                  <w:r>
                    <w:rPr>
                      <w:rFonts w:hint="eastAsia"/>
                      <w:color w:val="auto"/>
                    </w:rPr>
                    <w:t>0.05t</w:t>
                  </w:r>
                </w:p>
              </w:tc>
              <w:tc>
                <w:tcPr>
                  <w:tcW w:w="1498" w:type="pct"/>
                  <w:tcBorders>
                    <w:tl2br w:val="nil"/>
                    <w:tr2bl w:val="nil"/>
                  </w:tcBorders>
                  <w:vAlign w:val="center"/>
                </w:tcPr>
                <w:p w14:paraId="4328DE0D">
                  <w:pPr>
                    <w:pStyle w:val="33"/>
                    <w:rPr>
                      <w:color w:val="auto"/>
                    </w:rPr>
                  </w:pPr>
                  <w:r>
                    <w:rPr>
                      <w:rFonts w:hint="eastAsia"/>
                      <w:color w:val="auto"/>
                    </w:rPr>
                    <w:t>袋装，干燥存放</w:t>
                  </w:r>
                </w:p>
              </w:tc>
            </w:tr>
            <w:tr w14:paraId="252413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2887E9DA">
                  <w:pPr>
                    <w:pStyle w:val="33"/>
                    <w:rPr>
                      <w:color w:val="auto"/>
                    </w:rPr>
                  </w:pPr>
                  <w:r>
                    <w:rPr>
                      <w:rFonts w:hint="eastAsia"/>
                      <w:color w:val="auto"/>
                    </w:rPr>
                    <w:t>25</w:t>
                  </w:r>
                </w:p>
              </w:tc>
              <w:tc>
                <w:tcPr>
                  <w:tcW w:w="942" w:type="pct"/>
                  <w:tcBorders>
                    <w:tl2br w:val="nil"/>
                    <w:tr2bl w:val="nil"/>
                  </w:tcBorders>
                  <w:vAlign w:val="center"/>
                </w:tcPr>
                <w:p w14:paraId="012315CF">
                  <w:pPr>
                    <w:pStyle w:val="33"/>
                    <w:rPr>
                      <w:color w:val="auto"/>
                    </w:rPr>
                  </w:pPr>
                  <w:r>
                    <w:rPr>
                      <w:rFonts w:hint="eastAsia"/>
                      <w:color w:val="auto"/>
                    </w:rPr>
                    <w:t>芝麻</w:t>
                  </w:r>
                </w:p>
              </w:tc>
              <w:tc>
                <w:tcPr>
                  <w:tcW w:w="871" w:type="pct"/>
                  <w:tcBorders>
                    <w:tl2br w:val="nil"/>
                    <w:tr2bl w:val="nil"/>
                  </w:tcBorders>
                  <w:vAlign w:val="center"/>
                </w:tcPr>
                <w:p w14:paraId="3A084FDC">
                  <w:pPr>
                    <w:pStyle w:val="33"/>
                    <w:rPr>
                      <w:color w:val="auto"/>
                    </w:rPr>
                  </w:pPr>
                  <w:r>
                    <w:rPr>
                      <w:rFonts w:hint="eastAsia"/>
                      <w:color w:val="auto"/>
                      <w:lang w:val="en-US" w:eastAsia="zh-CN"/>
                    </w:rPr>
                    <w:t>5t</w:t>
                  </w:r>
                  <w:r>
                    <w:rPr>
                      <w:color w:val="auto"/>
                    </w:rPr>
                    <w:t>/a</w:t>
                  </w:r>
                </w:p>
              </w:tc>
              <w:tc>
                <w:tcPr>
                  <w:tcW w:w="765" w:type="pct"/>
                  <w:tcBorders>
                    <w:tl2br w:val="nil"/>
                    <w:tr2bl w:val="nil"/>
                  </w:tcBorders>
                  <w:vAlign w:val="center"/>
                </w:tcPr>
                <w:p w14:paraId="6BEC8476">
                  <w:pPr>
                    <w:pStyle w:val="33"/>
                    <w:rPr>
                      <w:color w:val="auto"/>
                    </w:rPr>
                  </w:pPr>
                  <w:r>
                    <w:rPr>
                      <w:rFonts w:hint="eastAsia"/>
                      <w:color w:val="auto"/>
                    </w:rPr>
                    <w:t>25kg/袋</w:t>
                  </w:r>
                </w:p>
              </w:tc>
              <w:tc>
                <w:tcPr>
                  <w:tcW w:w="575" w:type="pct"/>
                  <w:tcBorders>
                    <w:tl2br w:val="nil"/>
                    <w:tr2bl w:val="nil"/>
                  </w:tcBorders>
                  <w:vAlign w:val="center"/>
                </w:tcPr>
                <w:p w14:paraId="6BA28A7E">
                  <w:pPr>
                    <w:pStyle w:val="33"/>
                    <w:rPr>
                      <w:color w:val="auto"/>
                    </w:rPr>
                  </w:pPr>
                  <w:r>
                    <w:rPr>
                      <w:rFonts w:hint="eastAsia"/>
                      <w:color w:val="auto"/>
                    </w:rPr>
                    <w:t>0.6t</w:t>
                  </w:r>
                </w:p>
              </w:tc>
              <w:tc>
                <w:tcPr>
                  <w:tcW w:w="1498" w:type="pct"/>
                  <w:tcBorders>
                    <w:tl2br w:val="nil"/>
                    <w:tr2bl w:val="nil"/>
                  </w:tcBorders>
                  <w:vAlign w:val="center"/>
                </w:tcPr>
                <w:p w14:paraId="55A7E5B4">
                  <w:pPr>
                    <w:pStyle w:val="33"/>
                    <w:rPr>
                      <w:color w:val="auto"/>
                    </w:rPr>
                  </w:pPr>
                  <w:r>
                    <w:rPr>
                      <w:rFonts w:hint="eastAsia"/>
                      <w:color w:val="auto"/>
                    </w:rPr>
                    <w:t>袋装，密闭防潮存放</w:t>
                  </w:r>
                </w:p>
              </w:tc>
            </w:tr>
            <w:tr w14:paraId="1A5C70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74190234">
                  <w:pPr>
                    <w:pStyle w:val="33"/>
                    <w:rPr>
                      <w:color w:val="auto"/>
                    </w:rPr>
                  </w:pPr>
                  <w:r>
                    <w:rPr>
                      <w:rFonts w:hint="eastAsia"/>
                      <w:color w:val="auto"/>
                    </w:rPr>
                    <w:t>26</w:t>
                  </w:r>
                </w:p>
              </w:tc>
              <w:tc>
                <w:tcPr>
                  <w:tcW w:w="942" w:type="pct"/>
                  <w:tcBorders>
                    <w:tl2br w:val="nil"/>
                    <w:tr2bl w:val="nil"/>
                  </w:tcBorders>
                  <w:vAlign w:val="center"/>
                </w:tcPr>
                <w:p w14:paraId="7E767774">
                  <w:pPr>
                    <w:pStyle w:val="33"/>
                    <w:rPr>
                      <w:color w:val="auto"/>
                    </w:rPr>
                  </w:pPr>
                  <w:r>
                    <w:rPr>
                      <w:rFonts w:hint="eastAsia"/>
                      <w:color w:val="auto"/>
                    </w:rPr>
                    <w:t>二氧化硅</w:t>
                  </w:r>
                </w:p>
              </w:tc>
              <w:tc>
                <w:tcPr>
                  <w:tcW w:w="871" w:type="pct"/>
                  <w:tcBorders>
                    <w:tl2br w:val="nil"/>
                    <w:tr2bl w:val="nil"/>
                  </w:tcBorders>
                  <w:vAlign w:val="center"/>
                </w:tcPr>
                <w:p w14:paraId="21D19301">
                  <w:pPr>
                    <w:pStyle w:val="33"/>
                    <w:rPr>
                      <w:color w:val="auto"/>
                    </w:rPr>
                  </w:pPr>
                  <w:r>
                    <w:rPr>
                      <w:rFonts w:hint="eastAsia"/>
                      <w:color w:val="auto"/>
                    </w:rPr>
                    <w:t>0.003t</w:t>
                  </w:r>
                  <w:r>
                    <w:rPr>
                      <w:color w:val="auto"/>
                    </w:rPr>
                    <w:t>/a</w:t>
                  </w:r>
                </w:p>
              </w:tc>
              <w:tc>
                <w:tcPr>
                  <w:tcW w:w="765" w:type="pct"/>
                  <w:tcBorders>
                    <w:tl2br w:val="nil"/>
                    <w:tr2bl w:val="nil"/>
                  </w:tcBorders>
                  <w:vAlign w:val="center"/>
                </w:tcPr>
                <w:p w14:paraId="00015C91">
                  <w:pPr>
                    <w:pStyle w:val="33"/>
                    <w:rPr>
                      <w:color w:val="auto"/>
                    </w:rPr>
                  </w:pPr>
                  <w:r>
                    <w:rPr>
                      <w:rFonts w:hint="eastAsia"/>
                      <w:color w:val="auto"/>
                    </w:rPr>
                    <w:t>1kg/袋</w:t>
                  </w:r>
                </w:p>
              </w:tc>
              <w:tc>
                <w:tcPr>
                  <w:tcW w:w="575" w:type="pct"/>
                  <w:tcBorders>
                    <w:tl2br w:val="nil"/>
                    <w:tr2bl w:val="nil"/>
                  </w:tcBorders>
                  <w:vAlign w:val="center"/>
                </w:tcPr>
                <w:p w14:paraId="4F48D9ED">
                  <w:pPr>
                    <w:pStyle w:val="33"/>
                    <w:rPr>
                      <w:color w:val="auto"/>
                    </w:rPr>
                  </w:pPr>
                  <w:r>
                    <w:rPr>
                      <w:rFonts w:hint="eastAsia"/>
                      <w:color w:val="auto"/>
                    </w:rPr>
                    <w:t>0.001t</w:t>
                  </w:r>
                </w:p>
              </w:tc>
              <w:tc>
                <w:tcPr>
                  <w:tcW w:w="1498" w:type="pct"/>
                  <w:tcBorders>
                    <w:tl2br w:val="nil"/>
                    <w:tr2bl w:val="nil"/>
                  </w:tcBorders>
                  <w:vAlign w:val="center"/>
                </w:tcPr>
                <w:p w14:paraId="38DD3C3B">
                  <w:pPr>
                    <w:pStyle w:val="33"/>
                    <w:rPr>
                      <w:color w:val="auto"/>
                    </w:rPr>
                  </w:pPr>
                  <w:r>
                    <w:rPr>
                      <w:rFonts w:hint="eastAsia"/>
                      <w:color w:val="auto"/>
                    </w:rPr>
                    <w:t>原包装密封，食品添加剂库</w:t>
                  </w:r>
                </w:p>
              </w:tc>
            </w:tr>
            <w:tr w14:paraId="132BFC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675BCDD4">
                  <w:pPr>
                    <w:pStyle w:val="33"/>
                    <w:rPr>
                      <w:color w:val="auto"/>
                    </w:rPr>
                  </w:pPr>
                  <w:r>
                    <w:rPr>
                      <w:rFonts w:hint="eastAsia"/>
                      <w:color w:val="auto"/>
                    </w:rPr>
                    <w:t>27</w:t>
                  </w:r>
                </w:p>
              </w:tc>
              <w:tc>
                <w:tcPr>
                  <w:tcW w:w="942" w:type="pct"/>
                  <w:tcBorders>
                    <w:tl2br w:val="nil"/>
                    <w:tr2bl w:val="nil"/>
                  </w:tcBorders>
                  <w:vAlign w:val="center"/>
                </w:tcPr>
                <w:p w14:paraId="47F41934">
                  <w:pPr>
                    <w:pStyle w:val="33"/>
                    <w:rPr>
                      <w:color w:val="auto"/>
                    </w:rPr>
                  </w:pPr>
                  <w:r>
                    <w:rPr>
                      <w:rFonts w:hint="eastAsia"/>
                      <w:color w:val="auto"/>
                    </w:rPr>
                    <w:t>柠檬黄</w:t>
                  </w:r>
                </w:p>
              </w:tc>
              <w:tc>
                <w:tcPr>
                  <w:tcW w:w="871" w:type="pct"/>
                  <w:tcBorders>
                    <w:tl2br w:val="nil"/>
                    <w:tr2bl w:val="nil"/>
                  </w:tcBorders>
                  <w:vAlign w:val="center"/>
                </w:tcPr>
                <w:p w14:paraId="7A77BBE6">
                  <w:pPr>
                    <w:pStyle w:val="33"/>
                    <w:rPr>
                      <w:color w:val="auto"/>
                    </w:rPr>
                  </w:pPr>
                  <w:r>
                    <w:rPr>
                      <w:rFonts w:hint="eastAsia"/>
                      <w:color w:val="auto"/>
                    </w:rPr>
                    <w:t>0.00</w:t>
                  </w:r>
                  <w:r>
                    <w:rPr>
                      <w:rFonts w:hint="eastAsia"/>
                      <w:color w:val="auto"/>
                      <w:lang w:val="en-US" w:eastAsia="zh-CN"/>
                    </w:rPr>
                    <w:t>1</w:t>
                  </w:r>
                  <w:r>
                    <w:rPr>
                      <w:rFonts w:hint="eastAsia"/>
                      <w:color w:val="auto"/>
                    </w:rPr>
                    <w:t>t</w:t>
                  </w:r>
                  <w:r>
                    <w:rPr>
                      <w:color w:val="auto"/>
                    </w:rPr>
                    <w:t>/a</w:t>
                  </w:r>
                </w:p>
              </w:tc>
              <w:tc>
                <w:tcPr>
                  <w:tcW w:w="765" w:type="pct"/>
                  <w:tcBorders>
                    <w:tl2br w:val="nil"/>
                    <w:tr2bl w:val="nil"/>
                  </w:tcBorders>
                  <w:vAlign w:val="center"/>
                </w:tcPr>
                <w:p w14:paraId="5E7068DA">
                  <w:pPr>
                    <w:pStyle w:val="33"/>
                    <w:rPr>
                      <w:color w:val="auto"/>
                    </w:rPr>
                  </w:pPr>
                  <w:r>
                    <w:rPr>
                      <w:rFonts w:hint="eastAsia"/>
                      <w:color w:val="auto"/>
                    </w:rPr>
                    <w:t>0.5kg/瓶</w:t>
                  </w:r>
                </w:p>
              </w:tc>
              <w:tc>
                <w:tcPr>
                  <w:tcW w:w="575" w:type="pct"/>
                  <w:tcBorders>
                    <w:tl2br w:val="nil"/>
                    <w:tr2bl w:val="nil"/>
                  </w:tcBorders>
                  <w:vAlign w:val="center"/>
                </w:tcPr>
                <w:p w14:paraId="19736E9B">
                  <w:pPr>
                    <w:pStyle w:val="33"/>
                    <w:rPr>
                      <w:color w:val="auto"/>
                    </w:rPr>
                  </w:pPr>
                  <w:r>
                    <w:rPr>
                      <w:rFonts w:hint="eastAsia"/>
                      <w:color w:val="auto"/>
                    </w:rPr>
                    <w:t>0.00</w:t>
                  </w:r>
                  <w:r>
                    <w:rPr>
                      <w:rFonts w:hint="eastAsia"/>
                      <w:color w:val="auto"/>
                      <w:lang w:val="en-US" w:eastAsia="zh-CN"/>
                    </w:rPr>
                    <w:t>1</w:t>
                  </w:r>
                  <w:r>
                    <w:rPr>
                      <w:rFonts w:hint="eastAsia"/>
                      <w:color w:val="auto"/>
                    </w:rPr>
                    <w:t>t</w:t>
                  </w:r>
                </w:p>
              </w:tc>
              <w:tc>
                <w:tcPr>
                  <w:tcW w:w="1498" w:type="pct"/>
                  <w:tcBorders>
                    <w:tl2br w:val="nil"/>
                    <w:tr2bl w:val="nil"/>
                  </w:tcBorders>
                  <w:vAlign w:val="center"/>
                </w:tcPr>
                <w:p w14:paraId="7C66EA00">
                  <w:pPr>
                    <w:pStyle w:val="33"/>
                    <w:rPr>
                      <w:color w:val="auto"/>
                    </w:rPr>
                  </w:pPr>
                  <w:r>
                    <w:rPr>
                      <w:rFonts w:hint="eastAsia"/>
                      <w:color w:val="auto"/>
                    </w:rPr>
                    <w:t>原包装密封，食品添加剂库</w:t>
                  </w:r>
                </w:p>
              </w:tc>
            </w:tr>
            <w:tr w14:paraId="6408BF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19941FB1">
                  <w:pPr>
                    <w:pStyle w:val="33"/>
                    <w:rPr>
                      <w:color w:val="auto"/>
                    </w:rPr>
                  </w:pPr>
                  <w:r>
                    <w:rPr>
                      <w:rFonts w:hint="eastAsia"/>
                      <w:color w:val="auto"/>
                    </w:rPr>
                    <w:t>28</w:t>
                  </w:r>
                </w:p>
              </w:tc>
              <w:tc>
                <w:tcPr>
                  <w:tcW w:w="942" w:type="pct"/>
                  <w:tcBorders>
                    <w:tl2br w:val="nil"/>
                    <w:tr2bl w:val="nil"/>
                  </w:tcBorders>
                  <w:vAlign w:val="center"/>
                </w:tcPr>
                <w:p w14:paraId="62909739">
                  <w:pPr>
                    <w:pStyle w:val="33"/>
                    <w:rPr>
                      <w:color w:val="auto"/>
                    </w:rPr>
                  </w:pPr>
                  <w:r>
                    <w:rPr>
                      <w:rFonts w:hint="eastAsia"/>
                      <w:color w:val="auto"/>
                    </w:rPr>
                    <w:t>姜黄</w:t>
                  </w:r>
                </w:p>
              </w:tc>
              <w:tc>
                <w:tcPr>
                  <w:tcW w:w="871" w:type="pct"/>
                  <w:tcBorders>
                    <w:tl2br w:val="nil"/>
                    <w:tr2bl w:val="nil"/>
                  </w:tcBorders>
                  <w:vAlign w:val="center"/>
                </w:tcPr>
                <w:p w14:paraId="60066250">
                  <w:pPr>
                    <w:pStyle w:val="33"/>
                    <w:rPr>
                      <w:color w:val="auto"/>
                    </w:rPr>
                  </w:pPr>
                  <w:r>
                    <w:rPr>
                      <w:rFonts w:hint="eastAsia"/>
                      <w:color w:val="auto"/>
                    </w:rPr>
                    <w:t>0.008t</w:t>
                  </w:r>
                  <w:r>
                    <w:rPr>
                      <w:color w:val="auto"/>
                    </w:rPr>
                    <w:t>/a</w:t>
                  </w:r>
                </w:p>
              </w:tc>
              <w:tc>
                <w:tcPr>
                  <w:tcW w:w="765" w:type="pct"/>
                  <w:tcBorders>
                    <w:tl2br w:val="nil"/>
                    <w:tr2bl w:val="nil"/>
                  </w:tcBorders>
                  <w:vAlign w:val="center"/>
                </w:tcPr>
                <w:p w14:paraId="6FF67385">
                  <w:pPr>
                    <w:pStyle w:val="33"/>
                    <w:rPr>
                      <w:color w:val="auto"/>
                    </w:rPr>
                  </w:pPr>
                  <w:r>
                    <w:rPr>
                      <w:rFonts w:hint="eastAsia"/>
                      <w:color w:val="auto"/>
                    </w:rPr>
                    <w:t>1kg/袋</w:t>
                  </w:r>
                </w:p>
              </w:tc>
              <w:tc>
                <w:tcPr>
                  <w:tcW w:w="575" w:type="pct"/>
                  <w:tcBorders>
                    <w:tl2br w:val="nil"/>
                    <w:tr2bl w:val="nil"/>
                  </w:tcBorders>
                  <w:vAlign w:val="center"/>
                </w:tcPr>
                <w:p w14:paraId="5CBABB10">
                  <w:pPr>
                    <w:pStyle w:val="33"/>
                    <w:rPr>
                      <w:color w:val="auto"/>
                    </w:rPr>
                  </w:pPr>
                  <w:r>
                    <w:rPr>
                      <w:rFonts w:hint="eastAsia"/>
                      <w:color w:val="auto"/>
                    </w:rPr>
                    <w:t>0.002t</w:t>
                  </w:r>
                </w:p>
              </w:tc>
              <w:tc>
                <w:tcPr>
                  <w:tcW w:w="1498" w:type="pct"/>
                  <w:tcBorders>
                    <w:tl2br w:val="nil"/>
                    <w:tr2bl w:val="nil"/>
                  </w:tcBorders>
                  <w:vAlign w:val="center"/>
                </w:tcPr>
                <w:p w14:paraId="02A7377F">
                  <w:pPr>
                    <w:pStyle w:val="33"/>
                    <w:rPr>
                      <w:color w:val="auto"/>
                    </w:rPr>
                  </w:pPr>
                  <w:r>
                    <w:rPr>
                      <w:rFonts w:hint="eastAsia"/>
                      <w:color w:val="auto"/>
                    </w:rPr>
                    <w:t>原包装密封，食品添加剂库</w:t>
                  </w:r>
                </w:p>
              </w:tc>
            </w:tr>
            <w:tr w14:paraId="155595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3E974819">
                  <w:pPr>
                    <w:pStyle w:val="33"/>
                    <w:rPr>
                      <w:color w:val="auto"/>
                    </w:rPr>
                  </w:pPr>
                  <w:r>
                    <w:rPr>
                      <w:rFonts w:hint="eastAsia"/>
                      <w:color w:val="auto"/>
                    </w:rPr>
                    <w:t>29</w:t>
                  </w:r>
                </w:p>
              </w:tc>
              <w:tc>
                <w:tcPr>
                  <w:tcW w:w="942" w:type="pct"/>
                  <w:tcBorders>
                    <w:tl2br w:val="nil"/>
                    <w:tr2bl w:val="nil"/>
                  </w:tcBorders>
                  <w:vAlign w:val="center"/>
                </w:tcPr>
                <w:p w14:paraId="4CB5ABCA">
                  <w:pPr>
                    <w:pStyle w:val="33"/>
                    <w:rPr>
                      <w:color w:val="auto"/>
                    </w:rPr>
                  </w:pPr>
                  <w:r>
                    <w:rPr>
                      <w:rFonts w:hint="eastAsia"/>
                      <w:color w:val="auto"/>
                    </w:rPr>
                    <w:t>阿斯巴甜</w:t>
                  </w:r>
                </w:p>
              </w:tc>
              <w:tc>
                <w:tcPr>
                  <w:tcW w:w="871" w:type="pct"/>
                  <w:tcBorders>
                    <w:tl2br w:val="nil"/>
                    <w:tr2bl w:val="nil"/>
                  </w:tcBorders>
                  <w:vAlign w:val="center"/>
                </w:tcPr>
                <w:p w14:paraId="708C53E0">
                  <w:pPr>
                    <w:pStyle w:val="33"/>
                    <w:rPr>
                      <w:color w:val="auto"/>
                    </w:rPr>
                  </w:pPr>
                  <w:r>
                    <w:rPr>
                      <w:rFonts w:hint="eastAsia"/>
                      <w:color w:val="auto"/>
                    </w:rPr>
                    <w:t>0.001t</w:t>
                  </w:r>
                  <w:r>
                    <w:rPr>
                      <w:color w:val="auto"/>
                    </w:rPr>
                    <w:t>/a</w:t>
                  </w:r>
                </w:p>
              </w:tc>
              <w:tc>
                <w:tcPr>
                  <w:tcW w:w="765" w:type="pct"/>
                  <w:tcBorders>
                    <w:tl2br w:val="nil"/>
                    <w:tr2bl w:val="nil"/>
                  </w:tcBorders>
                  <w:vAlign w:val="center"/>
                </w:tcPr>
                <w:p w14:paraId="527A9D01">
                  <w:pPr>
                    <w:pStyle w:val="33"/>
                    <w:rPr>
                      <w:color w:val="auto"/>
                    </w:rPr>
                  </w:pPr>
                  <w:r>
                    <w:rPr>
                      <w:rFonts w:hint="eastAsia"/>
                      <w:color w:val="auto"/>
                    </w:rPr>
                    <w:t>1kg/袋</w:t>
                  </w:r>
                </w:p>
              </w:tc>
              <w:tc>
                <w:tcPr>
                  <w:tcW w:w="575" w:type="pct"/>
                  <w:tcBorders>
                    <w:tl2br w:val="nil"/>
                    <w:tr2bl w:val="nil"/>
                  </w:tcBorders>
                  <w:vAlign w:val="center"/>
                </w:tcPr>
                <w:p w14:paraId="44E6071B">
                  <w:pPr>
                    <w:pStyle w:val="33"/>
                    <w:rPr>
                      <w:color w:val="auto"/>
                    </w:rPr>
                  </w:pPr>
                  <w:r>
                    <w:rPr>
                      <w:rFonts w:hint="eastAsia"/>
                      <w:color w:val="auto"/>
                    </w:rPr>
                    <w:t>0.0</w:t>
                  </w:r>
                  <w:r>
                    <w:rPr>
                      <w:rFonts w:hint="eastAsia"/>
                      <w:color w:val="auto"/>
                      <w:lang w:val="en-US" w:eastAsia="zh-CN"/>
                    </w:rPr>
                    <w:t>0</w:t>
                  </w:r>
                  <w:r>
                    <w:rPr>
                      <w:rFonts w:hint="eastAsia"/>
                      <w:color w:val="auto"/>
                    </w:rPr>
                    <w:t>1t</w:t>
                  </w:r>
                </w:p>
              </w:tc>
              <w:tc>
                <w:tcPr>
                  <w:tcW w:w="1498" w:type="pct"/>
                  <w:tcBorders>
                    <w:tl2br w:val="nil"/>
                    <w:tr2bl w:val="nil"/>
                  </w:tcBorders>
                  <w:vAlign w:val="center"/>
                </w:tcPr>
                <w:p w14:paraId="47AB652F">
                  <w:pPr>
                    <w:pStyle w:val="33"/>
                    <w:rPr>
                      <w:color w:val="auto"/>
                    </w:rPr>
                  </w:pPr>
                  <w:r>
                    <w:rPr>
                      <w:rFonts w:hint="eastAsia"/>
                      <w:color w:val="auto"/>
                    </w:rPr>
                    <w:t>原包装密封，食品添加剂库</w:t>
                  </w:r>
                </w:p>
              </w:tc>
            </w:tr>
            <w:tr w14:paraId="5C1955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0F5F43F1">
                  <w:pPr>
                    <w:pStyle w:val="33"/>
                    <w:rPr>
                      <w:color w:val="auto"/>
                    </w:rPr>
                  </w:pPr>
                  <w:r>
                    <w:rPr>
                      <w:rFonts w:hint="eastAsia"/>
                      <w:color w:val="auto"/>
                    </w:rPr>
                    <w:t>30</w:t>
                  </w:r>
                </w:p>
              </w:tc>
              <w:tc>
                <w:tcPr>
                  <w:tcW w:w="942" w:type="pct"/>
                  <w:tcBorders>
                    <w:tl2br w:val="nil"/>
                    <w:tr2bl w:val="nil"/>
                  </w:tcBorders>
                  <w:vAlign w:val="center"/>
                </w:tcPr>
                <w:p w14:paraId="54BE2FD1">
                  <w:pPr>
                    <w:pStyle w:val="33"/>
                    <w:rPr>
                      <w:color w:val="auto"/>
                    </w:rPr>
                  </w:pPr>
                  <w:r>
                    <w:rPr>
                      <w:rFonts w:hint="eastAsia"/>
                      <w:color w:val="auto"/>
                    </w:rPr>
                    <w:t>5</w:t>
                  </w:r>
                  <w:r>
                    <w:rPr>
                      <w:color w:val="auto"/>
                    </w:rPr>
                    <w:t>’</w:t>
                  </w:r>
                  <w:r>
                    <w:rPr>
                      <w:rFonts w:hint="eastAsia"/>
                      <w:color w:val="auto"/>
                    </w:rPr>
                    <w:t>呈味核苷酸二钠</w:t>
                  </w:r>
                </w:p>
              </w:tc>
              <w:tc>
                <w:tcPr>
                  <w:tcW w:w="871" w:type="pct"/>
                  <w:tcBorders>
                    <w:tl2br w:val="nil"/>
                    <w:tr2bl w:val="nil"/>
                  </w:tcBorders>
                  <w:vAlign w:val="center"/>
                </w:tcPr>
                <w:p w14:paraId="1F3D58C4">
                  <w:pPr>
                    <w:pStyle w:val="33"/>
                    <w:rPr>
                      <w:color w:val="auto"/>
                    </w:rPr>
                  </w:pPr>
                  <w:r>
                    <w:rPr>
                      <w:rFonts w:hint="eastAsia"/>
                      <w:color w:val="auto"/>
                    </w:rPr>
                    <w:t>0.14t</w:t>
                  </w:r>
                  <w:r>
                    <w:rPr>
                      <w:color w:val="auto"/>
                    </w:rPr>
                    <w:t>/a</w:t>
                  </w:r>
                </w:p>
              </w:tc>
              <w:tc>
                <w:tcPr>
                  <w:tcW w:w="765" w:type="pct"/>
                  <w:tcBorders>
                    <w:tl2br w:val="nil"/>
                    <w:tr2bl w:val="nil"/>
                  </w:tcBorders>
                  <w:vAlign w:val="center"/>
                </w:tcPr>
                <w:p w14:paraId="0F832A01">
                  <w:pPr>
                    <w:pStyle w:val="33"/>
                    <w:rPr>
                      <w:color w:val="auto"/>
                    </w:rPr>
                  </w:pPr>
                  <w:r>
                    <w:rPr>
                      <w:rFonts w:hint="eastAsia"/>
                      <w:color w:val="auto"/>
                    </w:rPr>
                    <w:t>10kg/袋</w:t>
                  </w:r>
                </w:p>
              </w:tc>
              <w:tc>
                <w:tcPr>
                  <w:tcW w:w="575" w:type="pct"/>
                  <w:tcBorders>
                    <w:tl2br w:val="nil"/>
                    <w:tr2bl w:val="nil"/>
                  </w:tcBorders>
                  <w:vAlign w:val="center"/>
                </w:tcPr>
                <w:p w14:paraId="35EF10D3">
                  <w:pPr>
                    <w:pStyle w:val="33"/>
                    <w:rPr>
                      <w:color w:val="auto"/>
                    </w:rPr>
                  </w:pPr>
                  <w:r>
                    <w:rPr>
                      <w:rFonts w:hint="eastAsia"/>
                      <w:color w:val="auto"/>
                    </w:rPr>
                    <w:t>0.05t</w:t>
                  </w:r>
                </w:p>
              </w:tc>
              <w:tc>
                <w:tcPr>
                  <w:tcW w:w="1498" w:type="pct"/>
                  <w:tcBorders>
                    <w:tl2br w:val="nil"/>
                    <w:tr2bl w:val="nil"/>
                  </w:tcBorders>
                  <w:vAlign w:val="center"/>
                </w:tcPr>
                <w:p w14:paraId="2F654BCA">
                  <w:pPr>
                    <w:pStyle w:val="33"/>
                    <w:rPr>
                      <w:color w:val="auto"/>
                    </w:rPr>
                  </w:pPr>
                  <w:r>
                    <w:rPr>
                      <w:rFonts w:hint="eastAsia"/>
                      <w:color w:val="auto"/>
                    </w:rPr>
                    <w:t>袋装/桶装密封，食品添加剂库</w:t>
                  </w:r>
                </w:p>
              </w:tc>
            </w:tr>
            <w:tr w14:paraId="57AD2A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52FBB0FE">
                  <w:pPr>
                    <w:pStyle w:val="33"/>
                    <w:rPr>
                      <w:color w:val="auto"/>
                    </w:rPr>
                  </w:pPr>
                  <w:r>
                    <w:rPr>
                      <w:rFonts w:hint="eastAsia"/>
                      <w:color w:val="auto"/>
                    </w:rPr>
                    <w:t>31</w:t>
                  </w:r>
                </w:p>
              </w:tc>
              <w:tc>
                <w:tcPr>
                  <w:tcW w:w="942" w:type="pct"/>
                  <w:tcBorders>
                    <w:tl2br w:val="nil"/>
                    <w:tr2bl w:val="nil"/>
                  </w:tcBorders>
                  <w:vAlign w:val="center"/>
                </w:tcPr>
                <w:p w14:paraId="1CC1DEFC">
                  <w:pPr>
                    <w:pStyle w:val="33"/>
                    <w:rPr>
                      <w:color w:val="auto"/>
                    </w:rPr>
                  </w:pPr>
                  <w:r>
                    <w:rPr>
                      <w:rFonts w:hint="eastAsia"/>
                      <w:color w:val="auto"/>
                    </w:rPr>
                    <w:t>山梨酸钾</w:t>
                  </w:r>
                </w:p>
              </w:tc>
              <w:tc>
                <w:tcPr>
                  <w:tcW w:w="871" w:type="pct"/>
                  <w:tcBorders>
                    <w:tl2br w:val="nil"/>
                    <w:tr2bl w:val="nil"/>
                  </w:tcBorders>
                  <w:vAlign w:val="center"/>
                </w:tcPr>
                <w:p w14:paraId="549433CD">
                  <w:pPr>
                    <w:pStyle w:val="33"/>
                    <w:rPr>
                      <w:color w:val="auto"/>
                    </w:rPr>
                  </w:pPr>
                  <w:r>
                    <w:rPr>
                      <w:rFonts w:hint="eastAsia"/>
                      <w:color w:val="auto"/>
                    </w:rPr>
                    <w:t>0.00</w:t>
                  </w:r>
                  <w:r>
                    <w:rPr>
                      <w:rFonts w:hint="eastAsia"/>
                      <w:color w:val="auto"/>
                      <w:lang w:val="en-US" w:eastAsia="zh-CN"/>
                    </w:rPr>
                    <w:t>1</w:t>
                  </w:r>
                  <w:r>
                    <w:rPr>
                      <w:rFonts w:hint="eastAsia"/>
                      <w:color w:val="auto"/>
                    </w:rPr>
                    <w:t>t</w:t>
                  </w:r>
                  <w:r>
                    <w:rPr>
                      <w:color w:val="auto"/>
                    </w:rPr>
                    <w:t>/a</w:t>
                  </w:r>
                </w:p>
              </w:tc>
              <w:tc>
                <w:tcPr>
                  <w:tcW w:w="765" w:type="pct"/>
                  <w:tcBorders>
                    <w:tl2br w:val="nil"/>
                    <w:tr2bl w:val="nil"/>
                  </w:tcBorders>
                  <w:vAlign w:val="center"/>
                </w:tcPr>
                <w:p w14:paraId="54941989">
                  <w:pPr>
                    <w:pStyle w:val="33"/>
                    <w:rPr>
                      <w:color w:val="auto"/>
                    </w:rPr>
                  </w:pPr>
                  <w:r>
                    <w:rPr>
                      <w:rFonts w:hint="eastAsia"/>
                      <w:color w:val="auto"/>
                    </w:rPr>
                    <w:t>1kg/袋</w:t>
                  </w:r>
                </w:p>
              </w:tc>
              <w:tc>
                <w:tcPr>
                  <w:tcW w:w="575" w:type="pct"/>
                  <w:tcBorders>
                    <w:tl2br w:val="nil"/>
                    <w:tr2bl w:val="nil"/>
                  </w:tcBorders>
                  <w:vAlign w:val="center"/>
                </w:tcPr>
                <w:p w14:paraId="50A48358">
                  <w:pPr>
                    <w:pStyle w:val="33"/>
                    <w:rPr>
                      <w:color w:val="auto"/>
                    </w:rPr>
                  </w:pPr>
                  <w:r>
                    <w:rPr>
                      <w:rFonts w:hint="eastAsia"/>
                      <w:color w:val="auto"/>
                    </w:rPr>
                    <w:t>0.00</w:t>
                  </w:r>
                  <w:r>
                    <w:rPr>
                      <w:rFonts w:hint="eastAsia"/>
                      <w:color w:val="auto"/>
                      <w:lang w:val="en-US" w:eastAsia="zh-CN"/>
                    </w:rPr>
                    <w:t>1</w:t>
                  </w:r>
                  <w:r>
                    <w:rPr>
                      <w:rFonts w:hint="eastAsia"/>
                      <w:color w:val="auto"/>
                    </w:rPr>
                    <w:t>t</w:t>
                  </w:r>
                </w:p>
              </w:tc>
              <w:tc>
                <w:tcPr>
                  <w:tcW w:w="1498" w:type="pct"/>
                  <w:tcBorders>
                    <w:tl2br w:val="nil"/>
                    <w:tr2bl w:val="nil"/>
                  </w:tcBorders>
                  <w:vAlign w:val="center"/>
                </w:tcPr>
                <w:p w14:paraId="524FBA5C">
                  <w:pPr>
                    <w:pStyle w:val="33"/>
                    <w:rPr>
                      <w:color w:val="auto"/>
                    </w:rPr>
                  </w:pPr>
                  <w:r>
                    <w:rPr>
                      <w:rFonts w:hint="eastAsia"/>
                      <w:color w:val="auto"/>
                    </w:rPr>
                    <w:t>原包装密封，食品添加剂库</w:t>
                  </w:r>
                </w:p>
              </w:tc>
            </w:tr>
            <w:tr w14:paraId="4E82A7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294EAF1E">
                  <w:pPr>
                    <w:pStyle w:val="33"/>
                    <w:rPr>
                      <w:color w:val="auto"/>
                    </w:rPr>
                  </w:pPr>
                  <w:r>
                    <w:rPr>
                      <w:rFonts w:hint="eastAsia"/>
                      <w:color w:val="auto"/>
                    </w:rPr>
                    <w:t>32</w:t>
                  </w:r>
                </w:p>
              </w:tc>
              <w:tc>
                <w:tcPr>
                  <w:tcW w:w="942" w:type="pct"/>
                  <w:tcBorders>
                    <w:tl2br w:val="nil"/>
                    <w:tr2bl w:val="nil"/>
                  </w:tcBorders>
                  <w:vAlign w:val="center"/>
                </w:tcPr>
                <w:p w14:paraId="4AA0ECC9">
                  <w:pPr>
                    <w:pStyle w:val="33"/>
                    <w:rPr>
                      <w:color w:val="auto"/>
                    </w:rPr>
                  </w:pPr>
                  <w:r>
                    <w:rPr>
                      <w:rFonts w:hint="eastAsia"/>
                      <w:color w:val="auto"/>
                    </w:rPr>
                    <w:t>苯甲酸钠</w:t>
                  </w:r>
                </w:p>
              </w:tc>
              <w:tc>
                <w:tcPr>
                  <w:tcW w:w="871" w:type="pct"/>
                  <w:tcBorders>
                    <w:tl2br w:val="nil"/>
                    <w:tr2bl w:val="nil"/>
                  </w:tcBorders>
                  <w:vAlign w:val="center"/>
                </w:tcPr>
                <w:p w14:paraId="1AA8C186">
                  <w:pPr>
                    <w:pStyle w:val="33"/>
                    <w:rPr>
                      <w:color w:val="auto"/>
                    </w:rPr>
                  </w:pPr>
                  <w:r>
                    <w:rPr>
                      <w:rFonts w:hint="eastAsia"/>
                      <w:color w:val="auto"/>
                    </w:rPr>
                    <w:t>0.00</w:t>
                  </w:r>
                  <w:r>
                    <w:rPr>
                      <w:rFonts w:hint="eastAsia"/>
                      <w:color w:val="auto"/>
                      <w:lang w:val="en-US" w:eastAsia="zh-CN"/>
                    </w:rPr>
                    <w:t>1</w:t>
                  </w:r>
                  <w:r>
                    <w:rPr>
                      <w:rFonts w:hint="eastAsia"/>
                      <w:color w:val="auto"/>
                    </w:rPr>
                    <w:t>t</w:t>
                  </w:r>
                  <w:r>
                    <w:rPr>
                      <w:color w:val="auto"/>
                    </w:rPr>
                    <w:t>/a</w:t>
                  </w:r>
                </w:p>
              </w:tc>
              <w:tc>
                <w:tcPr>
                  <w:tcW w:w="765" w:type="pct"/>
                  <w:tcBorders>
                    <w:tl2br w:val="nil"/>
                    <w:tr2bl w:val="nil"/>
                  </w:tcBorders>
                  <w:vAlign w:val="center"/>
                </w:tcPr>
                <w:p w14:paraId="5714F7BD">
                  <w:pPr>
                    <w:pStyle w:val="33"/>
                    <w:rPr>
                      <w:color w:val="auto"/>
                    </w:rPr>
                  </w:pPr>
                  <w:r>
                    <w:rPr>
                      <w:rFonts w:hint="eastAsia"/>
                      <w:color w:val="auto"/>
                    </w:rPr>
                    <w:t>1kg/袋</w:t>
                  </w:r>
                </w:p>
              </w:tc>
              <w:tc>
                <w:tcPr>
                  <w:tcW w:w="575" w:type="pct"/>
                  <w:tcBorders>
                    <w:tl2br w:val="nil"/>
                    <w:tr2bl w:val="nil"/>
                  </w:tcBorders>
                  <w:vAlign w:val="center"/>
                </w:tcPr>
                <w:p w14:paraId="5A70E121">
                  <w:pPr>
                    <w:pStyle w:val="33"/>
                    <w:rPr>
                      <w:color w:val="auto"/>
                    </w:rPr>
                  </w:pPr>
                  <w:r>
                    <w:rPr>
                      <w:rFonts w:hint="eastAsia"/>
                      <w:color w:val="auto"/>
                    </w:rPr>
                    <w:t>0.001t</w:t>
                  </w:r>
                </w:p>
              </w:tc>
              <w:tc>
                <w:tcPr>
                  <w:tcW w:w="1498" w:type="pct"/>
                  <w:tcBorders>
                    <w:tl2br w:val="nil"/>
                    <w:tr2bl w:val="nil"/>
                  </w:tcBorders>
                  <w:vAlign w:val="center"/>
                </w:tcPr>
                <w:p w14:paraId="3779962A">
                  <w:pPr>
                    <w:pStyle w:val="33"/>
                    <w:rPr>
                      <w:color w:val="auto"/>
                    </w:rPr>
                  </w:pPr>
                  <w:r>
                    <w:rPr>
                      <w:rFonts w:hint="eastAsia"/>
                      <w:color w:val="auto"/>
                    </w:rPr>
                    <w:t>原包装密封，食品添加剂库</w:t>
                  </w:r>
                </w:p>
              </w:tc>
            </w:tr>
            <w:tr w14:paraId="0B3879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347" w:type="pct"/>
                  <w:tcBorders>
                    <w:tl2br w:val="nil"/>
                    <w:tr2bl w:val="nil"/>
                  </w:tcBorders>
                  <w:vAlign w:val="center"/>
                </w:tcPr>
                <w:p w14:paraId="05671FDE">
                  <w:pPr>
                    <w:pStyle w:val="33"/>
                    <w:rPr>
                      <w:color w:val="auto"/>
                    </w:rPr>
                  </w:pPr>
                  <w:r>
                    <w:rPr>
                      <w:rFonts w:hint="eastAsia"/>
                      <w:color w:val="auto"/>
                    </w:rPr>
                    <w:t>33</w:t>
                  </w:r>
                </w:p>
              </w:tc>
              <w:tc>
                <w:tcPr>
                  <w:tcW w:w="942" w:type="pct"/>
                  <w:tcBorders>
                    <w:tl2br w:val="nil"/>
                    <w:tr2bl w:val="nil"/>
                  </w:tcBorders>
                  <w:vAlign w:val="center"/>
                </w:tcPr>
                <w:p w14:paraId="603E4BD5">
                  <w:pPr>
                    <w:pStyle w:val="33"/>
                    <w:rPr>
                      <w:color w:val="auto"/>
                    </w:rPr>
                  </w:pPr>
                  <w:r>
                    <w:rPr>
                      <w:rFonts w:hint="eastAsia"/>
                      <w:color w:val="auto"/>
                    </w:rPr>
                    <w:t>老卤水汁外袋</w:t>
                  </w:r>
                </w:p>
              </w:tc>
              <w:tc>
                <w:tcPr>
                  <w:tcW w:w="871" w:type="pct"/>
                  <w:tcBorders>
                    <w:tl2br w:val="nil"/>
                    <w:tr2bl w:val="nil"/>
                  </w:tcBorders>
                  <w:vAlign w:val="center"/>
                </w:tcPr>
                <w:p w14:paraId="50F00F75">
                  <w:pPr>
                    <w:pStyle w:val="33"/>
                    <w:rPr>
                      <w:color w:val="auto"/>
                    </w:rPr>
                  </w:pPr>
                  <w:r>
                    <w:rPr>
                      <w:rFonts w:hint="eastAsia"/>
                      <w:color w:val="auto"/>
                    </w:rPr>
                    <w:t>158</w:t>
                  </w:r>
                  <w:r>
                    <w:rPr>
                      <w:rFonts w:hint="eastAsia"/>
                      <w:color w:val="auto"/>
                      <w:lang w:val="en-US" w:eastAsia="zh-CN"/>
                    </w:rPr>
                    <w:t>0</w:t>
                  </w:r>
                  <w:r>
                    <w:rPr>
                      <w:rFonts w:hint="eastAsia"/>
                      <w:color w:val="auto"/>
                    </w:rPr>
                    <w:t>0个</w:t>
                  </w:r>
                </w:p>
              </w:tc>
              <w:tc>
                <w:tcPr>
                  <w:tcW w:w="765" w:type="pct"/>
                  <w:tcBorders>
                    <w:tl2br w:val="nil"/>
                    <w:tr2bl w:val="nil"/>
                  </w:tcBorders>
                  <w:vAlign w:val="center"/>
                </w:tcPr>
                <w:p w14:paraId="248DD69E">
                  <w:pPr>
                    <w:pStyle w:val="33"/>
                    <w:rPr>
                      <w:color w:val="auto"/>
                    </w:rPr>
                  </w:pPr>
                  <w:r>
                    <w:rPr>
                      <w:rFonts w:hint="eastAsia"/>
                      <w:color w:val="auto"/>
                    </w:rPr>
                    <w:t>100g/袋</w:t>
                  </w:r>
                </w:p>
              </w:tc>
              <w:tc>
                <w:tcPr>
                  <w:tcW w:w="575" w:type="pct"/>
                  <w:tcBorders>
                    <w:tl2br w:val="nil"/>
                    <w:tr2bl w:val="nil"/>
                  </w:tcBorders>
                  <w:vAlign w:val="center"/>
                </w:tcPr>
                <w:p w14:paraId="706F4070">
                  <w:pPr>
                    <w:pStyle w:val="33"/>
                    <w:rPr>
                      <w:rFonts w:hint="default" w:eastAsia="宋体"/>
                      <w:color w:val="auto"/>
                      <w:lang w:val="en-US" w:eastAsia="zh-CN"/>
                    </w:rPr>
                  </w:pPr>
                  <w:r>
                    <w:rPr>
                      <w:rFonts w:hint="eastAsia"/>
                      <w:color w:val="auto"/>
                      <w:lang w:val="en-US" w:eastAsia="zh-CN"/>
                    </w:rPr>
                    <w:t>10000个</w:t>
                  </w:r>
                </w:p>
              </w:tc>
              <w:tc>
                <w:tcPr>
                  <w:tcW w:w="1498" w:type="pct"/>
                  <w:tcBorders>
                    <w:tl2br w:val="nil"/>
                    <w:tr2bl w:val="nil"/>
                  </w:tcBorders>
                  <w:vAlign w:val="center"/>
                </w:tcPr>
                <w:p w14:paraId="77080F1B">
                  <w:pPr>
                    <w:pStyle w:val="33"/>
                    <w:rPr>
                      <w:rFonts w:hint="eastAsia" w:eastAsia="宋体"/>
                      <w:color w:val="auto"/>
                      <w:lang w:eastAsia="zh-CN"/>
                    </w:rPr>
                  </w:pPr>
                  <w:r>
                    <w:rPr>
                      <w:rFonts w:hint="eastAsia"/>
                      <w:color w:val="auto"/>
                    </w:rPr>
                    <w:t>箱装/捆装，包材库</w:t>
                  </w:r>
                  <w:r>
                    <w:rPr>
                      <w:rFonts w:hint="eastAsia"/>
                      <w:color w:val="auto"/>
                      <w:lang w:eastAsia="zh-CN"/>
                    </w:rPr>
                    <w:t>（</w:t>
                  </w:r>
                  <w:r>
                    <w:rPr>
                      <w:rFonts w:hint="eastAsia"/>
                      <w:color w:val="auto"/>
                      <w:lang w:val="en-US" w:eastAsia="zh-CN"/>
                    </w:rPr>
                    <w:t>配套产品</w:t>
                  </w:r>
                  <w:r>
                    <w:rPr>
                      <w:rFonts w:hint="eastAsia"/>
                      <w:color w:val="auto"/>
                      <w:lang w:eastAsia="zh-CN"/>
                    </w:rPr>
                    <w:t>）</w:t>
                  </w:r>
                </w:p>
              </w:tc>
            </w:tr>
            <w:tr w14:paraId="3C3236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10A9F0A2">
                  <w:pPr>
                    <w:pStyle w:val="33"/>
                    <w:rPr>
                      <w:color w:val="auto"/>
                    </w:rPr>
                  </w:pPr>
                  <w:r>
                    <w:rPr>
                      <w:rFonts w:hint="eastAsia"/>
                      <w:color w:val="auto"/>
                    </w:rPr>
                    <w:t>34</w:t>
                  </w:r>
                </w:p>
              </w:tc>
              <w:tc>
                <w:tcPr>
                  <w:tcW w:w="942" w:type="pct"/>
                  <w:tcBorders>
                    <w:tl2br w:val="nil"/>
                    <w:tr2bl w:val="nil"/>
                  </w:tcBorders>
                  <w:vAlign w:val="center"/>
                </w:tcPr>
                <w:p w14:paraId="62813C88">
                  <w:pPr>
                    <w:pStyle w:val="33"/>
                    <w:rPr>
                      <w:color w:val="auto"/>
                    </w:rPr>
                  </w:pPr>
                  <w:r>
                    <w:rPr>
                      <w:rFonts w:hint="eastAsia"/>
                      <w:color w:val="auto"/>
                    </w:rPr>
                    <w:t>老卤水汁内袋</w:t>
                  </w:r>
                </w:p>
              </w:tc>
              <w:tc>
                <w:tcPr>
                  <w:tcW w:w="871" w:type="pct"/>
                  <w:tcBorders>
                    <w:tl2br w:val="nil"/>
                    <w:tr2bl w:val="nil"/>
                  </w:tcBorders>
                  <w:vAlign w:val="center"/>
                </w:tcPr>
                <w:p w14:paraId="12FC2AC4">
                  <w:pPr>
                    <w:pStyle w:val="33"/>
                    <w:rPr>
                      <w:color w:val="auto"/>
                    </w:rPr>
                  </w:pPr>
                  <w:r>
                    <w:rPr>
                      <w:rFonts w:hint="eastAsia"/>
                      <w:color w:val="auto"/>
                    </w:rPr>
                    <w:t>158</w:t>
                  </w:r>
                  <w:r>
                    <w:rPr>
                      <w:rFonts w:hint="eastAsia"/>
                      <w:color w:val="auto"/>
                      <w:lang w:val="en-US" w:eastAsia="zh-CN"/>
                    </w:rPr>
                    <w:t>0</w:t>
                  </w:r>
                  <w:r>
                    <w:rPr>
                      <w:rFonts w:hint="eastAsia"/>
                      <w:color w:val="auto"/>
                    </w:rPr>
                    <w:t>0个</w:t>
                  </w:r>
                </w:p>
              </w:tc>
              <w:tc>
                <w:tcPr>
                  <w:tcW w:w="765" w:type="pct"/>
                  <w:tcBorders>
                    <w:tl2br w:val="nil"/>
                    <w:tr2bl w:val="nil"/>
                  </w:tcBorders>
                  <w:vAlign w:val="center"/>
                </w:tcPr>
                <w:p w14:paraId="6F015041">
                  <w:pPr>
                    <w:pStyle w:val="33"/>
                    <w:rPr>
                      <w:color w:val="auto"/>
                    </w:rPr>
                  </w:pPr>
                  <w:r>
                    <w:rPr>
                      <w:rFonts w:hint="eastAsia"/>
                      <w:color w:val="auto"/>
                    </w:rPr>
                    <w:t>100g/袋</w:t>
                  </w:r>
                </w:p>
              </w:tc>
              <w:tc>
                <w:tcPr>
                  <w:tcW w:w="575" w:type="pct"/>
                  <w:tcBorders>
                    <w:tl2br w:val="nil"/>
                    <w:tr2bl w:val="nil"/>
                  </w:tcBorders>
                  <w:vAlign w:val="center"/>
                </w:tcPr>
                <w:p w14:paraId="2070D084">
                  <w:pPr>
                    <w:pStyle w:val="33"/>
                    <w:rPr>
                      <w:color w:val="auto"/>
                    </w:rPr>
                  </w:pPr>
                  <w:r>
                    <w:rPr>
                      <w:rFonts w:hint="eastAsia"/>
                      <w:color w:val="auto"/>
                      <w:lang w:val="en-US" w:eastAsia="zh-CN"/>
                    </w:rPr>
                    <w:t>10000个</w:t>
                  </w:r>
                </w:p>
              </w:tc>
              <w:tc>
                <w:tcPr>
                  <w:tcW w:w="1498" w:type="pct"/>
                  <w:tcBorders>
                    <w:tl2br w:val="nil"/>
                    <w:tr2bl w:val="nil"/>
                  </w:tcBorders>
                  <w:vAlign w:val="center"/>
                </w:tcPr>
                <w:p w14:paraId="22FC1805">
                  <w:pPr>
                    <w:pStyle w:val="33"/>
                    <w:rPr>
                      <w:color w:val="auto"/>
                    </w:rPr>
                  </w:pPr>
                  <w:r>
                    <w:rPr>
                      <w:rFonts w:hint="eastAsia"/>
                      <w:color w:val="auto"/>
                    </w:rPr>
                    <w:t>箱装，内包材库</w:t>
                  </w:r>
                  <w:r>
                    <w:rPr>
                      <w:rFonts w:hint="eastAsia"/>
                      <w:color w:val="auto"/>
                      <w:lang w:eastAsia="zh-CN"/>
                    </w:rPr>
                    <w:t>（</w:t>
                  </w:r>
                  <w:r>
                    <w:rPr>
                      <w:rFonts w:hint="eastAsia"/>
                      <w:color w:val="auto"/>
                      <w:lang w:val="en-US" w:eastAsia="zh-CN"/>
                    </w:rPr>
                    <w:t>配套产品</w:t>
                  </w:r>
                  <w:r>
                    <w:rPr>
                      <w:rFonts w:hint="eastAsia"/>
                      <w:color w:val="auto"/>
                      <w:lang w:eastAsia="zh-CN"/>
                    </w:rPr>
                    <w:t>）</w:t>
                  </w:r>
                </w:p>
              </w:tc>
            </w:tr>
            <w:tr w14:paraId="606792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6D7139DF">
                  <w:pPr>
                    <w:pStyle w:val="33"/>
                    <w:rPr>
                      <w:color w:val="auto"/>
                    </w:rPr>
                  </w:pPr>
                  <w:r>
                    <w:rPr>
                      <w:rFonts w:hint="eastAsia"/>
                      <w:color w:val="auto"/>
                    </w:rPr>
                    <w:t>35</w:t>
                  </w:r>
                </w:p>
              </w:tc>
              <w:tc>
                <w:tcPr>
                  <w:tcW w:w="942" w:type="pct"/>
                  <w:tcBorders>
                    <w:tl2br w:val="nil"/>
                    <w:tr2bl w:val="nil"/>
                  </w:tcBorders>
                  <w:vAlign w:val="center"/>
                </w:tcPr>
                <w:p w14:paraId="2BC606D1">
                  <w:pPr>
                    <w:pStyle w:val="33"/>
                    <w:rPr>
                      <w:color w:val="auto"/>
                    </w:rPr>
                  </w:pPr>
                  <w:r>
                    <w:rPr>
                      <w:rFonts w:hint="eastAsia"/>
                      <w:color w:val="auto"/>
                    </w:rPr>
                    <w:t>果酱烧烤调味料瓶子</w:t>
                  </w:r>
                </w:p>
              </w:tc>
              <w:tc>
                <w:tcPr>
                  <w:tcW w:w="871" w:type="pct"/>
                  <w:tcBorders>
                    <w:tl2br w:val="nil"/>
                    <w:tr2bl w:val="nil"/>
                  </w:tcBorders>
                  <w:vAlign w:val="center"/>
                </w:tcPr>
                <w:p w14:paraId="67003B7E">
                  <w:pPr>
                    <w:pStyle w:val="33"/>
                    <w:rPr>
                      <w:color w:val="auto"/>
                    </w:rPr>
                  </w:pPr>
                  <w:r>
                    <w:rPr>
                      <w:rFonts w:hint="eastAsia"/>
                      <w:color w:val="auto"/>
                    </w:rPr>
                    <w:t>151629个</w:t>
                  </w:r>
                </w:p>
              </w:tc>
              <w:tc>
                <w:tcPr>
                  <w:tcW w:w="765" w:type="pct"/>
                  <w:tcBorders>
                    <w:tl2br w:val="nil"/>
                    <w:tr2bl w:val="nil"/>
                  </w:tcBorders>
                  <w:vAlign w:val="center"/>
                </w:tcPr>
                <w:p w14:paraId="0EF73A20">
                  <w:pPr>
                    <w:pStyle w:val="33"/>
                    <w:rPr>
                      <w:color w:val="auto"/>
                    </w:rPr>
                  </w:pPr>
                  <w:r>
                    <w:rPr>
                      <w:rFonts w:hint="eastAsia"/>
                      <w:color w:val="auto"/>
                    </w:rPr>
                    <w:t>210g/瓶</w:t>
                  </w:r>
                </w:p>
              </w:tc>
              <w:tc>
                <w:tcPr>
                  <w:tcW w:w="575" w:type="pct"/>
                  <w:tcBorders>
                    <w:tl2br w:val="nil"/>
                    <w:tr2bl w:val="nil"/>
                  </w:tcBorders>
                  <w:vAlign w:val="center"/>
                </w:tcPr>
                <w:p w14:paraId="3D7D9FF0">
                  <w:pPr>
                    <w:pStyle w:val="33"/>
                    <w:rPr>
                      <w:rFonts w:hint="default" w:eastAsia="宋体"/>
                      <w:color w:val="auto"/>
                      <w:lang w:val="en-US" w:eastAsia="zh-CN"/>
                    </w:rPr>
                  </w:pPr>
                  <w:r>
                    <w:rPr>
                      <w:rFonts w:hint="eastAsia"/>
                      <w:color w:val="auto"/>
                      <w:lang w:val="en-US" w:eastAsia="zh-CN"/>
                    </w:rPr>
                    <w:t>13000个</w:t>
                  </w:r>
                </w:p>
              </w:tc>
              <w:tc>
                <w:tcPr>
                  <w:tcW w:w="1498" w:type="pct"/>
                  <w:tcBorders>
                    <w:tl2br w:val="nil"/>
                    <w:tr2bl w:val="nil"/>
                  </w:tcBorders>
                  <w:vAlign w:val="center"/>
                </w:tcPr>
                <w:p w14:paraId="176D8A83">
                  <w:pPr>
                    <w:pStyle w:val="33"/>
                    <w:rPr>
                      <w:color w:val="auto"/>
                    </w:rPr>
                  </w:pPr>
                  <w:r>
                    <w:rPr>
                      <w:rFonts w:hint="eastAsia"/>
                      <w:color w:val="auto"/>
                    </w:rPr>
                    <w:t>纸箱装，瓶存放间/包材库</w:t>
                  </w:r>
                  <w:r>
                    <w:rPr>
                      <w:rFonts w:hint="eastAsia"/>
                      <w:color w:val="auto"/>
                      <w:lang w:eastAsia="zh-CN"/>
                    </w:rPr>
                    <w:t>（</w:t>
                  </w:r>
                  <w:r>
                    <w:rPr>
                      <w:rFonts w:hint="eastAsia"/>
                      <w:color w:val="auto"/>
                      <w:lang w:val="en-US" w:eastAsia="zh-CN"/>
                    </w:rPr>
                    <w:t>配套产品</w:t>
                  </w:r>
                  <w:r>
                    <w:rPr>
                      <w:rFonts w:hint="eastAsia"/>
                      <w:color w:val="auto"/>
                      <w:lang w:eastAsia="zh-CN"/>
                    </w:rPr>
                    <w:t>）</w:t>
                  </w:r>
                </w:p>
              </w:tc>
            </w:tr>
            <w:tr w14:paraId="499ED0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00716943">
                  <w:pPr>
                    <w:pStyle w:val="33"/>
                    <w:rPr>
                      <w:color w:val="auto"/>
                    </w:rPr>
                  </w:pPr>
                  <w:r>
                    <w:rPr>
                      <w:rFonts w:hint="eastAsia"/>
                      <w:color w:val="auto"/>
                    </w:rPr>
                    <w:t>36</w:t>
                  </w:r>
                </w:p>
              </w:tc>
              <w:tc>
                <w:tcPr>
                  <w:tcW w:w="942" w:type="pct"/>
                  <w:tcBorders>
                    <w:tl2br w:val="nil"/>
                    <w:tr2bl w:val="nil"/>
                  </w:tcBorders>
                  <w:vAlign w:val="center"/>
                </w:tcPr>
                <w:p w14:paraId="19DFCDFD">
                  <w:pPr>
                    <w:pStyle w:val="33"/>
                    <w:rPr>
                      <w:color w:val="auto"/>
                    </w:rPr>
                  </w:pPr>
                  <w:r>
                    <w:rPr>
                      <w:rFonts w:hint="eastAsia"/>
                      <w:color w:val="auto"/>
                    </w:rPr>
                    <w:t>果酱烧烤调味料盖子</w:t>
                  </w:r>
                </w:p>
              </w:tc>
              <w:tc>
                <w:tcPr>
                  <w:tcW w:w="871" w:type="pct"/>
                  <w:tcBorders>
                    <w:tl2br w:val="nil"/>
                    <w:tr2bl w:val="nil"/>
                  </w:tcBorders>
                  <w:vAlign w:val="center"/>
                </w:tcPr>
                <w:p w14:paraId="39EE218D">
                  <w:pPr>
                    <w:pStyle w:val="33"/>
                    <w:rPr>
                      <w:color w:val="auto"/>
                    </w:rPr>
                  </w:pPr>
                  <w:r>
                    <w:rPr>
                      <w:rFonts w:hint="eastAsia"/>
                      <w:color w:val="auto"/>
                    </w:rPr>
                    <w:t>151629个</w:t>
                  </w:r>
                </w:p>
              </w:tc>
              <w:tc>
                <w:tcPr>
                  <w:tcW w:w="765" w:type="pct"/>
                  <w:tcBorders>
                    <w:tl2br w:val="nil"/>
                    <w:tr2bl w:val="nil"/>
                  </w:tcBorders>
                  <w:vAlign w:val="center"/>
                </w:tcPr>
                <w:p w14:paraId="7F89FDDD">
                  <w:pPr>
                    <w:pStyle w:val="33"/>
                    <w:rPr>
                      <w:color w:val="auto"/>
                    </w:rPr>
                  </w:pPr>
                  <w:r>
                    <w:rPr>
                      <w:rFonts w:hint="eastAsia"/>
                      <w:color w:val="auto"/>
                    </w:rPr>
                    <w:t>PP+TPE材质</w:t>
                  </w:r>
                </w:p>
              </w:tc>
              <w:tc>
                <w:tcPr>
                  <w:tcW w:w="575" w:type="pct"/>
                  <w:tcBorders>
                    <w:tl2br w:val="nil"/>
                    <w:tr2bl w:val="nil"/>
                  </w:tcBorders>
                  <w:vAlign w:val="center"/>
                </w:tcPr>
                <w:p w14:paraId="6BDD157F">
                  <w:pPr>
                    <w:pStyle w:val="33"/>
                    <w:rPr>
                      <w:color w:val="auto"/>
                    </w:rPr>
                  </w:pPr>
                  <w:r>
                    <w:rPr>
                      <w:rFonts w:hint="eastAsia"/>
                      <w:color w:val="auto"/>
                      <w:lang w:val="en-US" w:eastAsia="zh-CN"/>
                    </w:rPr>
                    <w:t>13000个</w:t>
                  </w:r>
                </w:p>
              </w:tc>
              <w:tc>
                <w:tcPr>
                  <w:tcW w:w="1498" w:type="pct"/>
                  <w:tcBorders>
                    <w:tl2br w:val="nil"/>
                    <w:tr2bl w:val="nil"/>
                  </w:tcBorders>
                  <w:vAlign w:val="center"/>
                </w:tcPr>
                <w:p w14:paraId="1B8EA00D">
                  <w:pPr>
                    <w:pStyle w:val="33"/>
                    <w:rPr>
                      <w:color w:val="auto"/>
                    </w:rPr>
                  </w:pPr>
                  <w:r>
                    <w:rPr>
                      <w:rFonts w:hint="eastAsia"/>
                      <w:color w:val="auto"/>
                    </w:rPr>
                    <w:t>纸箱装，包材库</w:t>
                  </w:r>
                </w:p>
              </w:tc>
            </w:tr>
            <w:tr w14:paraId="0E94E1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6CAD529C">
                  <w:pPr>
                    <w:pStyle w:val="33"/>
                    <w:rPr>
                      <w:color w:val="auto"/>
                    </w:rPr>
                  </w:pPr>
                  <w:r>
                    <w:rPr>
                      <w:rFonts w:hint="eastAsia"/>
                      <w:color w:val="auto"/>
                    </w:rPr>
                    <w:t>37</w:t>
                  </w:r>
                </w:p>
              </w:tc>
              <w:tc>
                <w:tcPr>
                  <w:tcW w:w="942" w:type="pct"/>
                  <w:tcBorders>
                    <w:tl2br w:val="nil"/>
                    <w:tr2bl w:val="nil"/>
                  </w:tcBorders>
                  <w:vAlign w:val="center"/>
                </w:tcPr>
                <w:p w14:paraId="5047130C">
                  <w:pPr>
                    <w:pStyle w:val="33"/>
                    <w:rPr>
                      <w:color w:val="auto"/>
                    </w:rPr>
                  </w:pPr>
                  <w:r>
                    <w:rPr>
                      <w:rFonts w:hint="eastAsia"/>
                      <w:color w:val="auto"/>
                    </w:rPr>
                    <w:t>浓缩鸡精外袋</w:t>
                  </w:r>
                </w:p>
              </w:tc>
              <w:tc>
                <w:tcPr>
                  <w:tcW w:w="871" w:type="pct"/>
                  <w:tcBorders>
                    <w:tl2br w:val="nil"/>
                    <w:tr2bl w:val="nil"/>
                  </w:tcBorders>
                  <w:vAlign w:val="center"/>
                </w:tcPr>
                <w:p w14:paraId="51B28E3F">
                  <w:pPr>
                    <w:pStyle w:val="33"/>
                    <w:rPr>
                      <w:color w:val="auto"/>
                    </w:rPr>
                  </w:pPr>
                  <w:r>
                    <w:rPr>
                      <w:rFonts w:hint="eastAsia"/>
                      <w:color w:val="auto"/>
                    </w:rPr>
                    <w:t>579个</w:t>
                  </w:r>
                </w:p>
              </w:tc>
              <w:tc>
                <w:tcPr>
                  <w:tcW w:w="765" w:type="pct"/>
                  <w:tcBorders>
                    <w:tl2br w:val="nil"/>
                    <w:tr2bl w:val="nil"/>
                  </w:tcBorders>
                  <w:vAlign w:val="center"/>
                </w:tcPr>
                <w:p w14:paraId="4A07ED63">
                  <w:pPr>
                    <w:pStyle w:val="33"/>
                    <w:rPr>
                      <w:color w:val="auto"/>
                    </w:rPr>
                  </w:pPr>
                  <w:r>
                    <w:rPr>
                      <w:rFonts w:hint="eastAsia"/>
                      <w:color w:val="auto"/>
                    </w:rPr>
                    <w:t>454g/袋；</w:t>
                  </w:r>
                </w:p>
              </w:tc>
              <w:tc>
                <w:tcPr>
                  <w:tcW w:w="575" w:type="pct"/>
                  <w:tcBorders>
                    <w:tl2br w:val="nil"/>
                    <w:tr2bl w:val="nil"/>
                  </w:tcBorders>
                  <w:vAlign w:val="center"/>
                </w:tcPr>
                <w:p w14:paraId="2D2ADB63">
                  <w:pPr>
                    <w:pStyle w:val="33"/>
                    <w:rPr>
                      <w:rFonts w:hint="default" w:eastAsia="宋体"/>
                      <w:color w:val="auto"/>
                      <w:lang w:val="en-US" w:eastAsia="zh-CN"/>
                    </w:rPr>
                  </w:pPr>
                  <w:r>
                    <w:rPr>
                      <w:rFonts w:hint="eastAsia"/>
                      <w:color w:val="auto"/>
                      <w:lang w:val="en-US" w:eastAsia="zh-CN"/>
                    </w:rPr>
                    <w:t>50个</w:t>
                  </w:r>
                </w:p>
              </w:tc>
              <w:tc>
                <w:tcPr>
                  <w:tcW w:w="1498" w:type="pct"/>
                  <w:tcBorders>
                    <w:tl2br w:val="nil"/>
                    <w:tr2bl w:val="nil"/>
                  </w:tcBorders>
                  <w:vAlign w:val="center"/>
                </w:tcPr>
                <w:p w14:paraId="602F386F">
                  <w:pPr>
                    <w:pStyle w:val="33"/>
                    <w:rPr>
                      <w:color w:val="auto"/>
                    </w:rPr>
                  </w:pPr>
                  <w:r>
                    <w:rPr>
                      <w:rFonts w:hint="eastAsia"/>
                      <w:color w:val="auto"/>
                    </w:rPr>
                    <w:t>箱装/捆装，包材库</w:t>
                  </w:r>
                </w:p>
              </w:tc>
            </w:tr>
            <w:tr w14:paraId="756D06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009BC9EA">
                  <w:pPr>
                    <w:pStyle w:val="33"/>
                    <w:rPr>
                      <w:color w:val="auto"/>
                    </w:rPr>
                  </w:pPr>
                  <w:r>
                    <w:rPr>
                      <w:rFonts w:hint="eastAsia"/>
                      <w:color w:val="auto"/>
                    </w:rPr>
                    <w:t>38</w:t>
                  </w:r>
                </w:p>
              </w:tc>
              <w:tc>
                <w:tcPr>
                  <w:tcW w:w="942" w:type="pct"/>
                  <w:tcBorders>
                    <w:tl2br w:val="nil"/>
                    <w:tr2bl w:val="nil"/>
                  </w:tcBorders>
                  <w:vAlign w:val="center"/>
                </w:tcPr>
                <w:p w14:paraId="739DC463">
                  <w:pPr>
                    <w:pStyle w:val="33"/>
                    <w:rPr>
                      <w:color w:val="auto"/>
                    </w:rPr>
                  </w:pPr>
                  <w:r>
                    <w:rPr>
                      <w:rFonts w:hint="eastAsia"/>
                      <w:color w:val="auto"/>
                      <w:lang w:eastAsia="zh-CN"/>
                    </w:rPr>
                    <w:t>香辛料粉及复合调味粉</w:t>
                  </w:r>
                  <w:r>
                    <w:rPr>
                      <w:rFonts w:hint="eastAsia"/>
                      <w:color w:val="auto"/>
                    </w:rPr>
                    <w:t>外袋</w:t>
                  </w:r>
                </w:p>
              </w:tc>
              <w:tc>
                <w:tcPr>
                  <w:tcW w:w="871" w:type="pct"/>
                  <w:tcBorders>
                    <w:tl2br w:val="nil"/>
                    <w:tr2bl w:val="nil"/>
                  </w:tcBorders>
                  <w:vAlign w:val="center"/>
                </w:tcPr>
                <w:p w14:paraId="0683F485">
                  <w:pPr>
                    <w:pStyle w:val="33"/>
                    <w:rPr>
                      <w:color w:val="auto"/>
                    </w:rPr>
                  </w:pPr>
                  <w:r>
                    <w:rPr>
                      <w:rFonts w:hint="eastAsia"/>
                      <w:color w:val="auto"/>
                    </w:rPr>
                    <w:t>121861个</w:t>
                  </w:r>
                </w:p>
              </w:tc>
              <w:tc>
                <w:tcPr>
                  <w:tcW w:w="765" w:type="pct"/>
                  <w:tcBorders>
                    <w:tl2br w:val="nil"/>
                    <w:tr2bl w:val="nil"/>
                  </w:tcBorders>
                  <w:vAlign w:val="center"/>
                </w:tcPr>
                <w:p w14:paraId="0F483636">
                  <w:pPr>
                    <w:pStyle w:val="33"/>
                    <w:rPr>
                      <w:color w:val="auto"/>
                    </w:rPr>
                  </w:pPr>
                  <w:r>
                    <w:rPr>
                      <w:rFonts w:hint="eastAsia"/>
                      <w:color w:val="auto"/>
                    </w:rPr>
                    <w:t>100g/袋；</w:t>
                  </w:r>
                </w:p>
              </w:tc>
              <w:tc>
                <w:tcPr>
                  <w:tcW w:w="575" w:type="pct"/>
                  <w:tcBorders>
                    <w:tl2br w:val="nil"/>
                    <w:tr2bl w:val="nil"/>
                  </w:tcBorders>
                  <w:vAlign w:val="center"/>
                </w:tcPr>
                <w:p w14:paraId="60546951">
                  <w:pPr>
                    <w:pStyle w:val="33"/>
                    <w:rPr>
                      <w:rFonts w:hint="default" w:eastAsia="宋体"/>
                      <w:color w:val="auto"/>
                      <w:lang w:val="en-US" w:eastAsia="zh-CN"/>
                    </w:rPr>
                  </w:pPr>
                  <w:r>
                    <w:rPr>
                      <w:rFonts w:hint="eastAsia"/>
                      <w:color w:val="auto"/>
                      <w:lang w:val="en-US" w:eastAsia="zh-CN"/>
                    </w:rPr>
                    <w:t>10000个</w:t>
                  </w:r>
                </w:p>
              </w:tc>
              <w:tc>
                <w:tcPr>
                  <w:tcW w:w="1498" w:type="pct"/>
                  <w:tcBorders>
                    <w:tl2br w:val="nil"/>
                    <w:tr2bl w:val="nil"/>
                  </w:tcBorders>
                  <w:vAlign w:val="center"/>
                </w:tcPr>
                <w:p w14:paraId="21592F01">
                  <w:pPr>
                    <w:pStyle w:val="33"/>
                    <w:rPr>
                      <w:color w:val="auto"/>
                    </w:rPr>
                  </w:pPr>
                  <w:r>
                    <w:rPr>
                      <w:rFonts w:hint="eastAsia"/>
                      <w:color w:val="auto"/>
                    </w:rPr>
                    <w:t>箱装/捆装，包材库</w:t>
                  </w:r>
                </w:p>
              </w:tc>
            </w:tr>
            <w:tr w14:paraId="3E5E65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729AF9AD">
                  <w:pPr>
                    <w:pStyle w:val="33"/>
                    <w:rPr>
                      <w:color w:val="auto"/>
                    </w:rPr>
                  </w:pPr>
                  <w:r>
                    <w:rPr>
                      <w:rFonts w:hint="eastAsia"/>
                      <w:color w:val="auto"/>
                    </w:rPr>
                    <w:t>39</w:t>
                  </w:r>
                </w:p>
              </w:tc>
              <w:tc>
                <w:tcPr>
                  <w:tcW w:w="942" w:type="pct"/>
                  <w:tcBorders>
                    <w:tl2br w:val="nil"/>
                    <w:tr2bl w:val="nil"/>
                  </w:tcBorders>
                  <w:vAlign w:val="center"/>
                </w:tcPr>
                <w:p w14:paraId="3E694979">
                  <w:pPr>
                    <w:pStyle w:val="33"/>
                    <w:rPr>
                      <w:color w:val="auto"/>
                    </w:rPr>
                  </w:pPr>
                  <w:r>
                    <w:rPr>
                      <w:rFonts w:hint="eastAsia"/>
                      <w:color w:val="auto"/>
                    </w:rPr>
                    <w:t>特辣辣椒油瓶子</w:t>
                  </w:r>
                </w:p>
              </w:tc>
              <w:tc>
                <w:tcPr>
                  <w:tcW w:w="871" w:type="pct"/>
                  <w:tcBorders>
                    <w:tl2br w:val="nil"/>
                    <w:tr2bl w:val="nil"/>
                  </w:tcBorders>
                  <w:vAlign w:val="center"/>
                </w:tcPr>
                <w:p w14:paraId="683488E3">
                  <w:pPr>
                    <w:pStyle w:val="33"/>
                    <w:rPr>
                      <w:color w:val="auto"/>
                    </w:rPr>
                  </w:pPr>
                  <w:r>
                    <w:rPr>
                      <w:rFonts w:hint="eastAsia"/>
                      <w:color w:val="auto"/>
                    </w:rPr>
                    <w:t>1281个</w:t>
                  </w:r>
                </w:p>
              </w:tc>
              <w:tc>
                <w:tcPr>
                  <w:tcW w:w="765" w:type="pct"/>
                  <w:tcBorders>
                    <w:tl2br w:val="nil"/>
                    <w:tr2bl w:val="nil"/>
                  </w:tcBorders>
                  <w:vAlign w:val="center"/>
                </w:tcPr>
                <w:p w14:paraId="427455D0">
                  <w:pPr>
                    <w:pStyle w:val="33"/>
                    <w:rPr>
                      <w:color w:val="auto"/>
                    </w:rPr>
                  </w:pPr>
                  <w:r>
                    <w:rPr>
                      <w:rFonts w:hint="eastAsia"/>
                      <w:color w:val="auto"/>
                    </w:rPr>
                    <w:t>5L/桶；</w:t>
                  </w:r>
                </w:p>
              </w:tc>
              <w:tc>
                <w:tcPr>
                  <w:tcW w:w="575" w:type="pct"/>
                  <w:tcBorders>
                    <w:tl2br w:val="nil"/>
                    <w:tr2bl w:val="nil"/>
                  </w:tcBorders>
                  <w:vAlign w:val="center"/>
                </w:tcPr>
                <w:p w14:paraId="040CF53E">
                  <w:pPr>
                    <w:pStyle w:val="33"/>
                    <w:rPr>
                      <w:rFonts w:hint="default" w:eastAsia="宋体"/>
                      <w:color w:val="auto"/>
                      <w:lang w:val="en-US" w:eastAsia="zh-CN"/>
                    </w:rPr>
                  </w:pPr>
                  <w:r>
                    <w:rPr>
                      <w:rFonts w:hint="eastAsia"/>
                      <w:color w:val="auto"/>
                      <w:lang w:val="en-US" w:eastAsia="zh-CN"/>
                    </w:rPr>
                    <w:t>150个</w:t>
                  </w:r>
                </w:p>
              </w:tc>
              <w:tc>
                <w:tcPr>
                  <w:tcW w:w="1498" w:type="pct"/>
                  <w:tcBorders>
                    <w:tl2br w:val="nil"/>
                    <w:tr2bl w:val="nil"/>
                  </w:tcBorders>
                  <w:vAlign w:val="center"/>
                </w:tcPr>
                <w:p w14:paraId="0028F57D">
                  <w:pPr>
                    <w:pStyle w:val="33"/>
                    <w:rPr>
                      <w:color w:val="auto"/>
                    </w:rPr>
                  </w:pPr>
                  <w:r>
                    <w:rPr>
                      <w:rFonts w:hint="eastAsia"/>
                      <w:color w:val="auto"/>
                    </w:rPr>
                    <w:t>纸箱装，瓶存放间</w:t>
                  </w:r>
                </w:p>
              </w:tc>
            </w:tr>
            <w:tr w14:paraId="7C9751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46593BC3">
                  <w:pPr>
                    <w:pStyle w:val="33"/>
                    <w:rPr>
                      <w:color w:val="auto"/>
                    </w:rPr>
                  </w:pPr>
                  <w:r>
                    <w:rPr>
                      <w:rFonts w:hint="eastAsia"/>
                      <w:color w:val="auto"/>
                    </w:rPr>
                    <w:t>40</w:t>
                  </w:r>
                </w:p>
              </w:tc>
              <w:tc>
                <w:tcPr>
                  <w:tcW w:w="942" w:type="pct"/>
                  <w:tcBorders>
                    <w:tl2br w:val="nil"/>
                    <w:tr2bl w:val="nil"/>
                  </w:tcBorders>
                  <w:vAlign w:val="center"/>
                </w:tcPr>
                <w:p w14:paraId="68567B3C">
                  <w:pPr>
                    <w:pStyle w:val="33"/>
                    <w:rPr>
                      <w:color w:val="auto"/>
                    </w:rPr>
                  </w:pPr>
                  <w:r>
                    <w:rPr>
                      <w:rFonts w:hint="eastAsia"/>
                      <w:color w:val="auto"/>
                    </w:rPr>
                    <w:t>特辣辣椒油盖子</w:t>
                  </w:r>
                </w:p>
              </w:tc>
              <w:tc>
                <w:tcPr>
                  <w:tcW w:w="871" w:type="pct"/>
                  <w:tcBorders>
                    <w:tl2br w:val="nil"/>
                    <w:tr2bl w:val="nil"/>
                  </w:tcBorders>
                  <w:vAlign w:val="center"/>
                </w:tcPr>
                <w:p w14:paraId="58C28D01">
                  <w:pPr>
                    <w:pStyle w:val="33"/>
                    <w:rPr>
                      <w:color w:val="auto"/>
                    </w:rPr>
                  </w:pPr>
                  <w:r>
                    <w:rPr>
                      <w:rFonts w:hint="eastAsia"/>
                      <w:color w:val="auto"/>
                    </w:rPr>
                    <w:t>1281个</w:t>
                  </w:r>
                </w:p>
              </w:tc>
              <w:tc>
                <w:tcPr>
                  <w:tcW w:w="765" w:type="pct"/>
                  <w:tcBorders>
                    <w:tl2br w:val="nil"/>
                    <w:tr2bl w:val="nil"/>
                  </w:tcBorders>
                  <w:vAlign w:val="center"/>
                </w:tcPr>
                <w:p w14:paraId="3AA841E5">
                  <w:pPr>
                    <w:pStyle w:val="33"/>
                    <w:rPr>
                      <w:color w:val="auto"/>
                    </w:rPr>
                  </w:pPr>
                  <w:r>
                    <w:rPr>
                      <w:rFonts w:hint="eastAsia"/>
                      <w:color w:val="auto"/>
                    </w:rPr>
                    <w:t>PP材质</w:t>
                  </w:r>
                </w:p>
              </w:tc>
              <w:tc>
                <w:tcPr>
                  <w:tcW w:w="575" w:type="pct"/>
                  <w:tcBorders>
                    <w:tl2br w:val="nil"/>
                    <w:tr2bl w:val="nil"/>
                  </w:tcBorders>
                  <w:vAlign w:val="center"/>
                </w:tcPr>
                <w:p w14:paraId="63F4C28F">
                  <w:pPr>
                    <w:pStyle w:val="33"/>
                    <w:rPr>
                      <w:color w:val="auto"/>
                    </w:rPr>
                  </w:pPr>
                  <w:r>
                    <w:rPr>
                      <w:rFonts w:hint="eastAsia"/>
                      <w:color w:val="auto"/>
                      <w:lang w:val="en-US" w:eastAsia="zh-CN"/>
                    </w:rPr>
                    <w:t>150个</w:t>
                  </w:r>
                </w:p>
              </w:tc>
              <w:tc>
                <w:tcPr>
                  <w:tcW w:w="1498" w:type="pct"/>
                  <w:tcBorders>
                    <w:tl2br w:val="nil"/>
                    <w:tr2bl w:val="nil"/>
                  </w:tcBorders>
                  <w:vAlign w:val="center"/>
                </w:tcPr>
                <w:p w14:paraId="3FD8D605">
                  <w:pPr>
                    <w:pStyle w:val="33"/>
                    <w:rPr>
                      <w:color w:val="auto"/>
                    </w:rPr>
                  </w:pPr>
                  <w:r>
                    <w:rPr>
                      <w:rFonts w:hint="eastAsia"/>
                      <w:color w:val="auto"/>
                    </w:rPr>
                    <w:t>纸箱装，包材库</w:t>
                  </w:r>
                </w:p>
              </w:tc>
            </w:tr>
            <w:tr w14:paraId="4BEF0D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541084F4">
                  <w:pPr>
                    <w:pStyle w:val="33"/>
                    <w:rPr>
                      <w:color w:val="auto"/>
                    </w:rPr>
                  </w:pPr>
                  <w:r>
                    <w:rPr>
                      <w:rFonts w:hint="eastAsia"/>
                      <w:color w:val="auto"/>
                    </w:rPr>
                    <w:t>41</w:t>
                  </w:r>
                </w:p>
              </w:tc>
              <w:tc>
                <w:tcPr>
                  <w:tcW w:w="942" w:type="pct"/>
                  <w:tcBorders>
                    <w:tl2br w:val="nil"/>
                    <w:tr2bl w:val="nil"/>
                  </w:tcBorders>
                  <w:vAlign w:val="center"/>
                </w:tcPr>
                <w:p w14:paraId="18C96B5F">
                  <w:pPr>
                    <w:pStyle w:val="33"/>
                    <w:rPr>
                      <w:color w:val="auto"/>
                    </w:rPr>
                  </w:pPr>
                  <w:r>
                    <w:rPr>
                      <w:rFonts w:hint="eastAsia"/>
                      <w:color w:val="auto"/>
                    </w:rPr>
                    <w:t>特辣辣椒油标签</w:t>
                  </w:r>
                </w:p>
              </w:tc>
              <w:tc>
                <w:tcPr>
                  <w:tcW w:w="871" w:type="pct"/>
                  <w:tcBorders>
                    <w:tl2br w:val="nil"/>
                    <w:tr2bl w:val="nil"/>
                  </w:tcBorders>
                  <w:vAlign w:val="center"/>
                </w:tcPr>
                <w:p w14:paraId="0228D01E">
                  <w:pPr>
                    <w:pStyle w:val="33"/>
                    <w:rPr>
                      <w:color w:val="auto"/>
                    </w:rPr>
                  </w:pPr>
                  <w:r>
                    <w:rPr>
                      <w:rFonts w:hint="eastAsia"/>
                      <w:color w:val="auto"/>
                    </w:rPr>
                    <w:t>1281张</w:t>
                  </w:r>
                </w:p>
              </w:tc>
              <w:tc>
                <w:tcPr>
                  <w:tcW w:w="765" w:type="pct"/>
                  <w:tcBorders>
                    <w:tl2br w:val="nil"/>
                    <w:tr2bl w:val="nil"/>
                  </w:tcBorders>
                  <w:vAlign w:val="center"/>
                </w:tcPr>
                <w:p w14:paraId="72C4AFA4">
                  <w:pPr>
                    <w:pStyle w:val="33"/>
                    <w:rPr>
                      <w:color w:val="auto"/>
                    </w:rPr>
                  </w:pPr>
                  <w:r>
                    <w:rPr>
                      <w:rFonts w:hint="eastAsia"/>
                      <w:color w:val="auto"/>
                    </w:rPr>
                    <w:t>特光不干胶</w:t>
                  </w:r>
                </w:p>
              </w:tc>
              <w:tc>
                <w:tcPr>
                  <w:tcW w:w="575" w:type="pct"/>
                  <w:tcBorders>
                    <w:tl2br w:val="nil"/>
                    <w:tr2bl w:val="nil"/>
                  </w:tcBorders>
                  <w:vAlign w:val="center"/>
                </w:tcPr>
                <w:p w14:paraId="7E930EE1">
                  <w:pPr>
                    <w:pStyle w:val="33"/>
                    <w:rPr>
                      <w:rFonts w:hint="default" w:eastAsia="宋体"/>
                      <w:color w:val="auto"/>
                      <w:lang w:val="en-US" w:eastAsia="zh-CN"/>
                    </w:rPr>
                  </w:pPr>
                  <w:r>
                    <w:rPr>
                      <w:rFonts w:hint="eastAsia"/>
                      <w:color w:val="auto"/>
                      <w:lang w:val="en-US" w:eastAsia="zh-CN"/>
                    </w:rPr>
                    <w:t>150张</w:t>
                  </w:r>
                </w:p>
              </w:tc>
              <w:tc>
                <w:tcPr>
                  <w:tcW w:w="1498" w:type="pct"/>
                  <w:tcBorders>
                    <w:tl2br w:val="nil"/>
                    <w:tr2bl w:val="nil"/>
                  </w:tcBorders>
                  <w:vAlign w:val="center"/>
                </w:tcPr>
                <w:p w14:paraId="6AAEB8A9">
                  <w:pPr>
                    <w:pStyle w:val="33"/>
                    <w:rPr>
                      <w:color w:val="auto"/>
                    </w:rPr>
                  </w:pPr>
                  <w:r>
                    <w:rPr>
                      <w:rFonts w:hint="eastAsia"/>
                      <w:color w:val="auto"/>
                    </w:rPr>
                    <w:t>箱/袋装，包材库</w:t>
                  </w:r>
                </w:p>
              </w:tc>
            </w:tr>
            <w:tr w14:paraId="0F875F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2CD39305">
                  <w:pPr>
                    <w:pStyle w:val="33"/>
                    <w:rPr>
                      <w:color w:val="auto"/>
                    </w:rPr>
                  </w:pPr>
                  <w:r>
                    <w:rPr>
                      <w:rFonts w:hint="eastAsia"/>
                      <w:color w:val="auto"/>
                    </w:rPr>
                    <w:t>42</w:t>
                  </w:r>
                </w:p>
              </w:tc>
              <w:tc>
                <w:tcPr>
                  <w:tcW w:w="942" w:type="pct"/>
                  <w:tcBorders>
                    <w:tl2br w:val="nil"/>
                    <w:tr2bl w:val="nil"/>
                  </w:tcBorders>
                  <w:vAlign w:val="center"/>
                </w:tcPr>
                <w:p w14:paraId="4BBBF99D">
                  <w:pPr>
                    <w:pStyle w:val="33"/>
                    <w:rPr>
                      <w:color w:val="auto"/>
                    </w:rPr>
                  </w:pPr>
                  <w:r>
                    <w:rPr>
                      <w:rFonts w:hint="eastAsia"/>
                      <w:color w:val="auto"/>
                    </w:rPr>
                    <w:t>白砂糖外袋</w:t>
                  </w:r>
                </w:p>
              </w:tc>
              <w:tc>
                <w:tcPr>
                  <w:tcW w:w="871" w:type="pct"/>
                  <w:tcBorders>
                    <w:tl2br w:val="nil"/>
                    <w:tr2bl w:val="nil"/>
                  </w:tcBorders>
                  <w:vAlign w:val="center"/>
                </w:tcPr>
                <w:p w14:paraId="0563CADD">
                  <w:pPr>
                    <w:pStyle w:val="33"/>
                    <w:rPr>
                      <w:color w:val="auto"/>
                    </w:rPr>
                  </w:pPr>
                  <w:r>
                    <w:rPr>
                      <w:rFonts w:hint="eastAsia"/>
                      <w:color w:val="auto"/>
                    </w:rPr>
                    <w:t>191478个</w:t>
                  </w:r>
                </w:p>
              </w:tc>
              <w:tc>
                <w:tcPr>
                  <w:tcW w:w="765" w:type="pct"/>
                  <w:tcBorders>
                    <w:tl2br w:val="nil"/>
                    <w:tr2bl w:val="nil"/>
                  </w:tcBorders>
                  <w:vAlign w:val="center"/>
                </w:tcPr>
                <w:p w14:paraId="606A370E">
                  <w:pPr>
                    <w:pStyle w:val="33"/>
                    <w:rPr>
                      <w:color w:val="auto"/>
                    </w:rPr>
                  </w:pPr>
                  <w:r>
                    <w:rPr>
                      <w:rFonts w:hint="eastAsia"/>
                      <w:color w:val="auto"/>
                    </w:rPr>
                    <w:t>400g/袋；PET+PE材质</w:t>
                  </w:r>
                </w:p>
              </w:tc>
              <w:tc>
                <w:tcPr>
                  <w:tcW w:w="575" w:type="pct"/>
                  <w:tcBorders>
                    <w:tl2br w:val="nil"/>
                    <w:tr2bl w:val="nil"/>
                  </w:tcBorders>
                  <w:vAlign w:val="center"/>
                </w:tcPr>
                <w:p w14:paraId="65CF0BD2">
                  <w:pPr>
                    <w:pStyle w:val="33"/>
                    <w:rPr>
                      <w:rFonts w:hint="default" w:eastAsia="宋体"/>
                      <w:color w:val="auto"/>
                      <w:lang w:val="en-US" w:eastAsia="zh-CN"/>
                    </w:rPr>
                  </w:pPr>
                  <w:r>
                    <w:rPr>
                      <w:rFonts w:hint="eastAsia"/>
                      <w:color w:val="auto"/>
                      <w:lang w:val="en-US" w:eastAsia="zh-CN"/>
                    </w:rPr>
                    <w:t>15000个</w:t>
                  </w:r>
                </w:p>
              </w:tc>
              <w:tc>
                <w:tcPr>
                  <w:tcW w:w="1498" w:type="pct"/>
                  <w:tcBorders>
                    <w:tl2br w:val="nil"/>
                    <w:tr2bl w:val="nil"/>
                  </w:tcBorders>
                  <w:vAlign w:val="center"/>
                </w:tcPr>
                <w:p w14:paraId="53055B2B">
                  <w:pPr>
                    <w:pStyle w:val="33"/>
                    <w:rPr>
                      <w:color w:val="auto"/>
                    </w:rPr>
                  </w:pPr>
                  <w:r>
                    <w:rPr>
                      <w:rFonts w:hint="eastAsia"/>
                      <w:color w:val="auto"/>
                    </w:rPr>
                    <w:t>捆装/箱装，包材库</w:t>
                  </w:r>
                </w:p>
              </w:tc>
            </w:tr>
            <w:tr w14:paraId="14EFEB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57610A22">
                  <w:pPr>
                    <w:pStyle w:val="33"/>
                    <w:rPr>
                      <w:color w:val="auto"/>
                    </w:rPr>
                  </w:pPr>
                  <w:r>
                    <w:rPr>
                      <w:rFonts w:hint="eastAsia"/>
                      <w:color w:val="auto"/>
                    </w:rPr>
                    <w:t>43</w:t>
                  </w:r>
                </w:p>
              </w:tc>
              <w:tc>
                <w:tcPr>
                  <w:tcW w:w="942" w:type="pct"/>
                  <w:tcBorders>
                    <w:tl2br w:val="nil"/>
                    <w:tr2bl w:val="nil"/>
                  </w:tcBorders>
                  <w:vAlign w:val="center"/>
                </w:tcPr>
                <w:p w14:paraId="40CE946A">
                  <w:pPr>
                    <w:pStyle w:val="33"/>
                    <w:rPr>
                      <w:color w:val="auto"/>
                    </w:rPr>
                  </w:pPr>
                  <w:r>
                    <w:rPr>
                      <w:rFonts w:hint="eastAsia"/>
                      <w:color w:val="auto"/>
                    </w:rPr>
                    <w:t>水</w:t>
                  </w:r>
                </w:p>
              </w:tc>
              <w:tc>
                <w:tcPr>
                  <w:tcW w:w="871" w:type="pct"/>
                  <w:tcBorders>
                    <w:tl2br w:val="nil"/>
                    <w:tr2bl w:val="nil"/>
                  </w:tcBorders>
                  <w:vAlign w:val="center"/>
                </w:tcPr>
                <w:p w14:paraId="50208D15">
                  <w:pPr>
                    <w:pStyle w:val="33"/>
                    <w:rPr>
                      <w:color w:val="auto"/>
                    </w:rPr>
                  </w:pPr>
                  <w:r>
                    <w:rPr>
                      <w:rFonts w:hint="eastAsia"/>
                      <w:color w:val="auto"/>
                      <w:lang w:val="en-US" w:eastAsia="zh-CN"/>
                    </w:rPr>
                    <w:t>1541.572</w:t>
                  </w:r>
                  <w:r>
                    <w:rPr>
                      <w:rFonts w:hint="eastAsia"/>
                      <w:color w:val="auto"/>
                    </w:rPr>
                    <w:t>m</w:t>
                  </w:r>
                  <w:r>
                    <w:rPr>
                      <w:rFonts w:hint="eastAsia"/>
                      <w:color w:val="auto"/>
                      <w:vertAlign w:val="superscript"/>
                    </w:rPr>
                    <w:t>3</w:t>
                  </w:r>
                  <w:r>
                    <w:rPr>
                      <w:rFonts w:hint="eastAsia"/>
                      <w:color w:val="auto"/>
                    </w:rPr>
                    <w:t>/a</w:t>
                  </w:r>
                </w:p>
              </w:tc>
              <w:tc>
                <w:tcPr>
                  <w:tcW w:w="765" w:type="pct"/>
                  <w:tcBorders>
                    <w:tl2br w:val="nil"/>
                    <w:tr2bl w:val="nil"/>
                  </w:tcBorders>
                  <w:vAlign w:val="center"/>
                </w:tcPr>
                <w:p w14:paraId="0BD15206">
                  <w:pPr>
                    <w:pStyle w:val="33"/>
                    <w:rPr>
                      <w:color w:val="auto"/>
                    </w:rPr>
                  </w:pPr>
                  <w:r>
                    <w:rPr>
                      <w:rFonts w:hint="eastAsia"/>
                      <w:color w:val="auto"/>
                    </w:rPr>
                    <w:t>/</w:t>
                  </w:r>
                </w:p>
              </w:tc>
              <w:tc>
                <w:tcPr>
                  <w:tcW w:w="575" w:type="pct"/>
                  <w:tcBorders>
                    <w:tl2br w:val="nil"/>
                    <w:tr2bl w:val="nil"/>
                  </w:tcBorders>
                  <w:vAlign w:val="center"/>
                </w:tcPr>
                <w:p w14:paraId="7844592A">
                  <w:pPr>
                    <w:pStyle w:val="33"/>
                    <w:rPr>
                      <w:color w:val="auto"/>
                    </w:rPr>
                  </w:pPr>
                  <w:r>
                    <w:rPr>
                      <w:rFonts w:hint="eastAsia"/>
                      <w:color w:val="auto"/>
                    </w:rPr>
                    <w:t>/</w:t>
                  </w:r>
                </w:p>
              </w:tc>
              <w:tc>
                <w:tcPr>
                  <w:tcW w:w="1498" w:type="pct"/>
                  <w:tcBorders>
                    <w:tl2br w:val="nil"/>
                    <w:tr2bl w:val="nil"/>
                  </w:tcBorders>
                  <w:vAlign w:val="center"/>
                </w:tcPr>
                <w:p w14:paraId="711D87CE">
                  <w:pPr>
                    <w:pStyle w:val="33"/>
                    <w:rPr>
                      <w:color w:val="auto"/>
                    </w:rPr>
                  </w:pPr>
                  <w:r>
                    <w:rPr>
                      <w:rFonts w:hint="eastAsia"/>
                      <w:color w:val="auto"/>
                    </w:rPr>
                    <w:t>柳州市自来水有限责任公司</w:t>
                  </w:r>
                </w:p>
              </w:tc>
            </w:tr>
            <w:tr w14:paraId="65E705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5320514F">
                  <w:pPr>
                    <w:pStyle w:val="33"/>
                    <w:rPr>
                      <w:color w:val="auto"/>
                    </w:rPr>
                  </w:pPr>
                  <w:r>
                    <w:rPr>
                      <w:rFonts w:hint="eastAsia"/>
                      <w:color w:val="auto"/>
                    </w:rPr>
                    <w:t>44</w:t>
                  </w:r>
                </w:p>
              </w:tc>
              <w:tc>
                <w:tcPr>
                  <w:tcW w:w="942" w:type="pct"/>
                  <w:tcBorders>
                    <w:tl2br w:val="nil"/>
                    <w:tr2bl w:val="nil"/>
                  </w:tcBorders>
                  <w:vAlign w:val="center"/>
                </w:tcPr>
                <w:p w14:paraId="19DC2ED9">
                  <w:pPr>
                    <w:pStyle w:val="33"/>
                    <w:rPr>
                      <w:color w:val="auto"/>
                    </w:rPr>
                  </w:pPr>
                  <w:r>
                    <w:rPr>
                      <w:rFonts w:hint="eastAsia"/>
                      <w:color w:val="auto"/>
                    </w:rPr>
                    <w:t>电</w:t>
                  </w:r>
                </w:p>
              </w:tc>
              <w:tc>
                <w:tcPr>
                  <w:tcW w:w="871" w:type="pct"/>
                  <w:tcBorders>
                    <w:tl2br w:val="nil"/>
                    <w:tr2bl w:val="nil"/>
                  </w:tcBorders>
                  <w:vAlign w:val="center"/>
                </w:tcPr>
                <w:p w14:paraId="2EFE0AEF">
                  <w:pPr>
                    <w:pStyle w:val="33"/>
                    <w:rPr>
                      <w:color w:val="auto"/>
                    </w:rPr>
                  </w:pPr>
                  <w:r>
                    <w:rPr>
                      <w:rFonts w:hint="eastAsia"/>
                      <w:color w:val="auto"/>
                    </w:rPr>
                    <w:t>361680kWh/a</w:t>
                  </w:r>
                </w:p>
              </w:tc>
              <w:tc>
                <w:tcPr>
                  <w:tcW w:w="765" w:type="pct"/>
                  <w:tcBorders>
                    <w:tl2br w:val="nil"/>
                    <w:tr2bl w:val="nil"/>
                  </w:tcBorders>
                  <w:vAlign w:val="center"/>
                </w:tcPr>
                <w:p w14:paraId="62F62CF7">
                  <w:pPr>
                    <w:pStyle w:val="33"/>
                    <w:rPr>
                      <w:color w:val="auto"/>
                    </w:rPr>
                  </w:pPr>
                  <w:r>
                    <w:rPr>
                      <w:rFonts w:hint="eastAsia"/>
                      <w:color w:val="auto"/>
                    </w:rPr>
                    <w:t>/</w:t>
                  </w:r>
                </w:p>
              </w:tc>
              <w:tc>
                <w:tcPr>
                  <w:tcW w:w="575" w:type="pct"/>
                  <w:tcBorders>
                    <w:tl2br w:val="nil"/>
                    <w:tr2bl w:val="nil"/>
                  </w:tcBorders>
                  <w:vAlign w:val="center"/>
                </w:tcPr>
                <w:p w14:paraId="1927FE23">
                  <w:pPr>
                    <w:pStyle w:val="33"/>
                    <w:rPr>
                      <w:color w:val="auto"/>
                    </w:rPr>
                  </w:pPr>
                  <w:r>
                    <w:rPr>
                      <w:rFonts w:hint="eastAsia"/>
                      <w:color w:val="auto"/>
                    </w:rPr>
                    <w:t>/</w:t>
                  </w:r>
                </w:p>
              </w:tc>
              <w:tc>
                <w:tcPr>
                  <w:tcW w:w="1498" w:type="pct"/>
                  <w:tcBorders>
                    <w:tl2br w:val="nil"/>
                    <w:tr2bl w:val="nil"/>
                  </w:tcBorders>
                  <w:vAlign w:val="center"/>
                </w:tcPr>
                <w:p w14:paraId="2E4D489A">
                  <w:pPr>
                    <w:pStyle w:val="33"/>
                    <w:rPr>
                      <w:color w:val="auto"/>
                    </w:rPr>
                  </w:pPr>
                  <w:r>
                    <w:rPr>
                      <w:rFonts w:hint="eastAsia"/>
                      <w:color w:val="auto"/>
                    </w:rPr>
                    <w:t>中国南方电网公司</w:t>
                  </w:r>
                </w:p>
              </w:tc>
            </w:tr>
            <w:tr w14:paraId="38558A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 w:type="pct"/>
                  <w:tcBorders>
                    <w:tl2br w:val="nil"/>
                    <w:tr2bl w:val="nil"/>
                  </w:tcBorders>
                  <w:vAlign w:val="center"/>
                </w:tcPr>
                <w:p w14:paraId="6ABD6E66">
                  <w:pPr>
                    <w:pStyle w:val="33"/>
                    <w:rPr>
                      <w:color w:val="auto"/>
                    </w:rPr>
                  </w:pPr>
                  <w:r>
                    <w:rPr>
                      <w:rFonts w:hint="eastAsia"/>
                      <w:color w:val="auto"/>
                    </w:rPr>
                    <w:t>45</w:t>
                  </w:r>
                </w:p>
              </w:tc>
              <w:tc>
                <w:tcPr>
                  <w:tcW w:w="942" w:type="pct"/>
                  <w:tcBorders>
                    <w:tl2br w:val="nil"/>
                    <w:tr2bl w:val="nil"/>
                  </w:tcBorders>
                  <w:vAlign w:val="center"/>
                </w:tcPr>
                <w:p w14:paraId="004138F8">
                  <w:pPr>
                    <w:pStyle w:val="33"/>
                    <w:rPr>
                      <w:color w:val="auto"/>
                    </w:rPr>
                  </w:pPr>
                  <w:r>
                    <w:rPr>
                      <w:rFonts w:hint="eastAsia"/>
                      <w:color w:val="auto"/>
                    </w:rPr>
                    <w:t>天然气</w:t>
                  </w:r>
                </w:p>
              </w:tc>
              <w:tc>
                <w:tcPr>
                  <w:tcW w:w="871" w:type="pct"/>
                  <w:tcBorders>
                    <w:tl2br w:val="nil"/>
                    <w:tr2bl w:val="nil"/>
                  </w:tcBorders>
                  <w:vAlign w:val="center"/>
                </w:tcPr>
                <w:p w14:paraId="61332383">
                  <w:pPr>
                    <w:pStyle w:val="33"/>
                    <w:rPr>
                      <w:color w:val="auto"/>
                    </w:rPr>
                  </w:pPr>
                  <w:r>
                    <w:rPr>
                      <w:rFonts w:hint="eastAsia"/>
                      <w:color w:val="auto"/>
                      <w:lang w:val="en-US" w:eastAsia="zh-CN"/>
                    </w:rPr>
                    <w:t>3736</w:t>
                  </w:r>
                  <w:r>
                    <w:rPr>
                      <w:rFonts w:hint="eastAsia"/>
                      <w:color w:val="auto"/>
                    </w:rPr>
                    <w:t>m</w:t>
                  </w:r>
                  <w:r>
                    <w:rPr>
                      <w:rFonts w:hint="eastAsia"/>
                      <w:color w:val="auto"/>
                      <w:vertAlign w:val="superscript"/>
                    </w:rPr>
                    <w:t>3</w:t>
                  </w:r>
                </w:p>
              </w:tc>
              <w:tc>
                <w:tcPr>
                  <w:tcW w:w="765" w:type="pct"/>
                  <w:tcBorders>
                    <w:tl2br w:val="nil"/>
                    <w:tr2bl w:val="nil"/>
                  </w:tcBorders>
                  <w:vAlign w:val="center"/>
                </w:tcPr>
                <w:p w14:paraId="01E632E2">
                  <w:pPr>
                    <w:pStyle w:val="33"/>
                    <w:rPr>
                      <w:rFonts w:hint="default" w:eastAsia="宋体"/>
                      <w:color w:val="auto"/>
                      <w:lang w:val="en-US" w:eastAsia="zh-CN"/>
                    </w:rPr>
                  </w:pPr>
                  <w:r>
                    <w:rPr>
                      <w:rFonts w:hint="eastAsia"/>
                      <w:color w:val="auto"/>
                      <w:lang w:val="en-US" w:eastAsia="zh-CN"/>
                    </w:rPr>
                    <w:t>管道天然气</w:t>
                  </w:r>
                </w:p>
              </w:tc>
              <w:tc>
                <w:tcPr>
                  <w:tcW w:w="575" w:type="pct"/>
                  <w:tcBorders>
                    <w:tl2br w:val="nil"/>
                    <w:tr2bl w:val="nil"/>
                  </w:tcBorders>
                  <w:vAlign w:val="center"/>
                </w:tcPr>
                <w:p w14:paraId="773AC53D">
                  <w:pPr>
                    <w:pStyle w:val="33"/>
                    <w:rPr>
                      <w:color w:val="auto"/>
                    </w:rPr>
                  </w:pPr>
                  <w:r>
                    <w:rPr>
                      <w:rFonts w:hint="eastAsia"/>
                      <w:color w:val="auto"/>
                    </w:rPr>
                    <w:t>/</w:t>
                  </w:r>
                </w:p>
              </w:tc>
              <w:tc>
                <w:tcPr>
                  <w:tcW w:w="1498" w:type="pct"/>
                  <w:tcBorders>
                    <w:tl2br w:val="nil"/>
                    <w:tr2bl w:val="nil"/>
                  </w:tcBorders>
                  <w:vAlign w:val="center"/>
                </w:tcPr>
                <w:p w14:paraId="24ADBDC2">
                  <w:pPr>
                    <w:pStyle w:val="33"/>
                    <w:rPr>
                      <w:color w:val="auto"/>
                    </w:rPr>
                  </w:pPr>
                  <w:r>
                    <w:rPr>
                      <w:rFonts w:hint="eastAsia"/>
                      <w:color w:val="auto"/>
                    </w:rPr>
                    <w:t>柳州港华燃气有限公司</w:t>
                  </w:r>
                </w:p>
              </w:tc>
            </w:tr>
          </w:tbl>
          <w:p w14:paraId="44C167F2">
            <w:pPr>
              <w:ind w:firstLine="480"/>
              <w:rPr>
                <w:color w:val="auto"/>
              </w:rPr>
            </w:pPr>
            <w:r>
              <w:rPr>
                <w:rFonts w:hint="eastAsia"/>
                <w:color w:val="auto"/>
              </w:rPr>
              <w:t>项目使用的原辅材料物质理化性质详见下表。</w:t>
            </w:r>
          </w:p>
          <w:p w14:paraId="4ABD818F">
            <w:pPr>
              <w:pStyle w:val="35"/>
              <w:rPr>
                <w:rFonts w:hint="default"/>
                <w:color w:val="auto"/>
              </w:rPr>
            </w:pPr>
            <w:r>
              <w:rPr>
                <w:color w:val="auto"/>
              </w:rPr>
              <w:t>表2-4 理化性质一览表</w:t>
            </w:r>
          </w:p>
          <w:tbl>
            <w:tblPr>
              <w:tblStyle w:val="17"/>
              <w:tblW w:w="79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6"/>
              <w:gridCol w:w="7235"/>
            </w:tblGrid>
            <w:tr w14:paraId="652C9B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tcBorders>
                    <w:tl2br w:val="nil"/>
                    <w:tr2bl w:val="nil"/>
                  </w:tcBorders>
                  <w:vAlign w:val="center"/>
                </w:tcPr>
                <w:p w14:paraId="63203233">
                  <w:pPr>
                    <w:pStyle w:val="33"/>
                    <w:rPr>
                      <w:color w:val="auto"/>
                    </w:rPr>
                  </w:pPr>
                  <w:r>
                    <w:rPr>
                      <w:rFonts w:hint="eastAsia"/>
                      <w:color w:val="auto"/>
                    </w:rPr>
                    <w:t>名称</w:t>
                  </w:r>
                </w:p>
              </w:tc>
              <w:tc>
                <w:tcPr>
                  <w:tcW w:w="7235" w:type="dxa"/>
                  <w:tcBorders>
                    <w:tl2br w:val="nil"/>
                    <w:tr2bl w:val="nil"/>
                  </w:tcBorders>
                  <w:vAlign w:val="center"/>
                </w:tcPr>
                <w:p w14:paraId="6532B3E7">
                  <w:pPr>
                    <w:pStyle w:val="33"/>
                    <w:rPr>
                      <w:color w:val="auto"/>
                    </w:rPr>
                  </w:pPr>
                  <w:r>
                    <w:rPr>
                      <w:rFonts w:hint="eastAsia"/>
                      <w:color w:val="auto"/>
                    </w:rPr>
                    <w:t>理化性质</w:t>
                  </w:r>
                </w:p>
              </w:tc>
            </w:tr>
            <w:tr w14:paraId="3413A5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tcBorders>
                    <w:tl2br w:val="nil"/>
                    <w:tr2bl w:val="nil"/>
                  </w:tcBorders>
                  <w:vAlign w:val="center"/>
                </w:tcPr>
                <w:p w14:paraId="7B65D7D6">
                  <w:pPr>
                    <w:pStyle w:val="33"/>
                    <w:rPr>
                      <w:color w:val="auto"/>
                    </w:rPr>
                  </w:pPr>
                  <w:r>
                    <w:rPr>
                      <w:rFonts w:hint="eastAsia"/>
                      <w:color w:val="auto"/>
                    </w:rPr>
                    <w:t>苯甲酸钠</w:t>
                  </w:r>
                </w:p>
              </w:tc>
              <w:tc>
                <w:tcPr>
                  <w:tcW w:w="7235" w:type="dxa"/>
                  <w:tcBorders>
                    <w:tl2br w:val="nil"/>
                    <w:tr2bl w:val="nil"/>
                  </w:tcBorders>
                  <w:vAlign w:val="center"/>
                </w:tcPr>
                <w:p w14:paraId="0D1634AA">
                  <w:pPr>
                    <w:pStyle w:val="33"/>
                    <w:jc w:val="both"/>
                    <w:rPr>
                      <w:color w:val="auto"/>
                    </w:rPr>
                  </w:pPr>
                  <w:r>
                    <w:rPr>
                      <w:color w:val="auto"/>
                    </w:rPr>
                    <w:t>苯甲酸钠，也称安息香酸钠，是一种有机物，化学式为C</w:t>
                  </w:r>
                  <w:r>
                    <w:rPr>
                      <w:color w:val="auto"/>
                      <w:vertAlign w:val="subscript"/>
                    </w:rPr>
                    <w:t>7</w:t>
                  </w:r>
                  <w:r>
                    <w:rPr>
                      <w:color w:val="auto"/>
                    </w:rPr>
                    <w:t>H</w:t>
                  </w:r>
                  <w:r>
                    <w:rPr>
                      <w:color w:val="auto"/>
                      <w:vertAlign w:val="subscript"/>
                    </w:rPr>
                    <w:t>5</w:t>
                  </w:r>
                  <w:r>
                    <w:rPr>
                      <w:color w:val="auto"/>
                    </w:rPr>
                    <w:t>NaO</w:t>
                  </w:r>
                  <w:r>
                    <w:rPr>
                      <w:color w:val="auto"/>
                      <w:vertAlign w:val="subscript"/>
                    </w:rPr>
                    <w:t>2</w:t>
                  </w:r>
                  <w:r>
                    <w:rPr>
                      <w:color w:val="auto"/>
                    </w:rPr>
                    <w:t>，是一种白色颗粒或晶体粉末，无臭或微带安息香气味，味微甜，有收敛味，相对分子质量为144.12，在空气中稳定，易溶于水，其水溶液的pH值为8，可溶于乙醇。</w:t>
                  </w:r>
                </w:p>
                <w:p w14:paraId="27EF246B">
                  <w:pPr>
                    <w:pStyle w:val="33"/>
                    <w:jc w:val="both"/>
                    <w:rPr>
                      <w:color w:val="auto"/>
                    </w:rPr>
                  </w:pPr>
                  <w:r>
                    <w:rPr>
                      <w:color w:val="auto"/>
                    </w:rPr>
                    <w:t>苯甲酸及其盐类是广谱抗微生物试剂，但它的抗菌有效性依赖于食品的pH值。随着介质酸度的增高其杀菌、抑菌效力增强，在碱性介质中则失去杀菌、抑菌作用。其防腐的最适pH值为2.5~4.0。</w:t>
                  </w:r>
                </w:p>
                <w:p w14:paraId="1C54DB5D">
                  <w:pPr>
                    <w:pStyle w:val="33"/>
                    <w:jc w:val="both"/>
                    <w:rPr>
                      <w:color w:val="auto"/>
                    </w:rPr>
                  </w:pPr>
                  <w:r>
                    <w:rPr>
                      <w:color w:val="auto"/>
                    </w:rPr>
                    <w:t>苯甲酸钠主要用作食品防腐剂，也用于制药物、染料等，苯甲酸类防腐剂是以其未离解的分子发生作用的，未离解的苯甲酸亲油性强，易通过细胞膜，进入细胞内，干扰霉菌和细菌等微生物细胞膜的通透性，阻碍细胞膜对氨基酸的吸收，进入细胞内的苯甲酸分子，酸化细胞内的储碱，抑制微生物细胞内的呼吸酶系的活性，从而起到防腐作用。</w:t>
                  </w:r>
                </w:p>
                <w:p w14:paraId="7E7044FD">
                  <w:pPr>
                    <w:pStyle w:val="33"/>
                    <w:jc w:val="both"/>
                    <w:rPr>
                      <w:color w:val="auto"/>
                    </w:rPr>
                  </w:pPr>
                  <w:r>
                    <w:rPr>
                      <w:color w:val="auto"/>
                    </w:rPr>
                    <w:t>急性毒性：苯甲酸钠的急性毒性较小，动物最大无作用</w:t>
                  </w:r>
                  <w:r>
                    <w:rPr>
                      <w:rFonts w:hint="eastAsia"/>
                      <w:color w:val="auto"/>
                    </w:rPr>
                    <w:t>剂量</w:t>
                  </w:r>
                  <w:r>
                    <w:rPr>
                      <w:color w:val="auto"/>
                    </w:rPr>
                    <w:t>（MNL）为500mg/kg体重。但其在人体肠道的酸环境下可转化为毒性较强的苯甲酸。小鼠摄入苯甲酸及其钠盐，会导致体重下降、腹泻、出血、瘫痪甚至死亡。苯甲酸的毒性是通过改变细胞膜的通透性，抑制细胞膜对氨基酸的吸收，并透过细胞膜抑制脂肪酶等酶的活性，使ATP合成受阻实现的。</w:t>
                  </w:r>
                </w:p>
              </w:tc>
            </w:tr>
            <w:tr w14:paraId="090E79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tcBorders>
                    <w:tl2br w:val="nil"/>
                    <w:tr2bl w:val="nil"/>
                  </w:tcBorders>
                  <w:vAlign w:val="center"/>
                </w:tcPr>
                <w:p w14:paraId="70C7E324">
                  <w:pPr>
                    <w:pStyle w:val="33"/>
                    <w:rPr>
                      <w:color w:val="auto"/>
                    </w:rPr>
                  </w:pPr>
                  <w:r>
                    <w:rPr>
                      <w:rFonts w:hint="eastAsia"/>
                      <w:color w:val="auto"/>
                    </w:rPr>
                    <w:t>山梨酸钾</w:t>
                  </w:r>
                </w:p>
              </w:tc>
              <w:tc>
                <w:tcPr>
                  <w:tcW w:w="7235" w:type="dxa"/>
                  <w:tcBorders>
                    <w:tl2br w:val="nil"/>
                    <w:tr2bl w:val="nil"/>
                  </w:tcBorders>
                  <w:vAlign w:val="center"/>
                </w:tcPr>
                <w:p w14:paraId="3F61E19A">
                  <w:pPr>
                    <w:pStyle w:val="33"/>
                    <w:jc w:val="both"/>
                    <w:rPr>
                      <w:color w:val="auto"/>
                    </w:rPr>
                  </w:pPr>
                  <w:r>
                    <w:rPr>
                      <w:color w:val="auto"/>
                    </w:rPr>
                    <w:t>山梨酸钾是无色至白色鳞片状结晶或结晶性粉末，无气味或稍有气味。在空气中不稳定，长期暴露在空气中易吸潮、被氧化分解而变色。</w:t>
                  </w:r>
                </w:p>
                <w:p w14:paraId="29189ECC">
                  <w:pPr>
                    <w:pStyle w:val="33"/>
                    <w:jc w:val="both"/>
                    <w:rPr>
                      <w:color w:val="auto"/>
                    </w:rPr>
                  </w:pPr>
                  <w:r>
                    <w:rPr>
                      <w:color w:val="auto"/>
                    </w:rPr>
                    <w:t>分子量150.22。有吸湿性。易溶于水、乙醇。有很强的抑制腐败菌和霉菌作用，并因毒性远比其他防腐剂为低，故已成为世界上最主要的防腐剂。在酸性条件下能充分发挥防腐作用，中性时作用甚低。</w:t>
                  </w:r>
                </w:p>
                <w:p w14:paraId="3090C763">
                  <w:pPr>
                    <w:pStyle w:val="33"/>
                    <w:jc w:val="both"/>
                    <w:rPr>
                      <w:color w:val="auto"/>
                    </w:rPr>
                  </w:pPr>
                  <w:r>
                    <w:rPr>
                      <w:color w:val="auto"/>
                    </w:rPr>
                    <w:t>山梨酸（钾）能有效地抑制霉菌，酵母菌和好氧性细菌的活性，还能防止肉毒杆菌、葡萄球菌、沙门氏菌等有害微生物的生长和繁殖，但对厌氧性芽孢菌与嗜酸乳杆菌等有益微生物几乎无效，其</w:t>
                  </w:r>
                  <w:r>
                    <w:rPr>
                      <w:rFonts w:hint="eastAsia"/>
                      <w:color w:val="auto"/>
                    </w:rPr>
                    <w:t>抑制</w:t>
                  </w:r>
                  <w:r>
                    <w:rPr>
                      <w:color w:val="auto"/>
                    </w:rPr>
                    <w:t>发育的作用比杀菌作用更强，从而达到有效地延长食品的保存时间，并保持原有食品的风味。其防腐效果是同类产品苯甲酸钠的5-10倍。</w:t>
                  </w:r>
                </w:p>
                <w:p w14:paraId="3D3DDB2F">
                  <w:pPr>
                    <w:pStyle w:val="33"/>
                    <w:jc w:val="both"/>
                    <w:rPr>
                      <w:color w:val="auto"/>
                    </w:rPr>
                  </w:pPr>
                  <w:r>
                    <w:rPr>
                      <w:color w:val="auto"/>
                    </w:rPr>
                    <w:t>急性毒性：山梨酸钾对小鼠急性毒性实验LD50=1300mg/kg，属低毒级；通过骨髓细胞微核试验、小鼠精子畸形试验、传统致畸试验，发现山梨酸钾无遗传毒性；30d喂养试验对动物体重、血液常规及血清ALT、BUN、GLU、TC、TG均未有明显毒性作用(P&gt;0.05)结论：山梨酸钾是一种安全、相对无毒的食品添加剂，可用于各类食品及饮料中。</w:t>
                  </w:r>
                </w:p>
              </w:tc>
            </w:tr>
          </w:tbl>
          <w:p w14:paraId="0B4800C2">
            <w:pPr>
              <w:ind w:firstLine="482"/>
              <w:rPr>
                <w:color w:val="auto"/>
              </w:rPr>
            </w:pPr>
            <w:r>
              <w:rPr>
                <w:rFonts w:hint="eastAsia"/>
                <w:b/>
                <w:bCs/>
                <w:color w:val="auto"/>
              </w:rPr>
              <w:t>6、产品方案</w:t>
            </w:r>
          </w:p>
          <w:p w14:paraId="6451DC0E">
            <w:pPr>
              <w:ind w:firstLine="480"/>
              <w:rPr>
                <w:color w:val="auto"/>
              </w:rPr>
            </w:pPr>
            <w:r>
              <w:rPr>
                <w:rFonts w:hint="eastAsia"/>
                <w:color w:val="auto"/>
              </w:rPr>
              <w:t>本项目产品及生产规模见下表。</w:t>
            </w:r>
          </w:p>
          <w:p w14:paraId="3373ED2A">
            <w:pPr>
              <w:pStyle w:val="35"/>
              <w:rPr>
                <w:rFonts w:hint="default"/>
                <w:color w:val="auto"/>
              </w:rPr>
            </w:pPr>
            <w:r>
              <w:rPr>
                <w:color w:val="auto"/>
              </w:rPr>
              <w:t>表2-5 主要产品及产量</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574"/>
              <w:gridCol w:w="2414"/>
              <w:gridCol w:w="1104"/>
              <w:gridCol w:w="2034"/>
            </w:tblGrid>
            <w:tr w14:paraId="070C46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4" w:type="pct"/>
                  <w:tcBorders>
                    <w:tl2br w:val="nil"/>
                    <w:tr2bl w:val="nil"/>
                  </w:tcBorders>
                  <w:vAlign w:val="center"/>
                </w:tcPr>
                <w:p w14:paraId="015E2334">
                  <w:pPr>
                    <w:pStyle w:val="33"/>
                    <w:jc w:val="center"/>
                    <w:rPr>
                      <w:color w:val="auto"/>
                    </w:rPr>
                  </w:pPr>
                  <w:r>
                    <w:rPr>
                      <w:rFonts w:hint="eastAsia"/>
                      <w:color w:val="auto"/>
                    </w:rPr>
                    <w:t>产品类型</w:t>
                  </w:r>
                </w:p>
              </w:tc>
              <w:tc>
                <w:tcPr>
                  <w:tcW w:w="1485" w:type="pct"/>
                  <w:tcBorders>
                    <w:tl2br w:val="nil"/>
                    <w:tr2bl w:val="nil"/>
                  </w:tcBorders>
                  <w:vAlign w:val="center"/>
                </w:tcPr>
                <w:p w14:paraId="1379252F">
                  <w:pPr>
                    <w:pStyle w:val="33"/>
                    <w:jc w:val="center"/>
                    <w:rPr>
                      <w:color w:val="auto"/>
                    </w:rPr>
                  </w:pPr>
                  <w:r>
                    <w:rPr>
                      <w:rFonts w:hint="eastAsia"/>
                      <w:color w:val="auto"/>
                    </w:rPr>
                    <w:t>产品名称</w:t>
                  </w:r>
                </w:p>
              </w:tc>
              <w:tc>
                <w:tcPr>
                  <w:tcW w:w="678" w:type="pct"/>
                  <w:tcBorders>
                    <w:tl2br w:val="nil"/>
                    <w:tr2bl w:val="nil"/>
                  </w:tcBorders>
                  <w:vAlign w:val="center"/>
                </w:tcPr>
                <w:p w14:paraId="299444C2">
                  <w:pPr>
                    <w:pStyle w:val="33"/>
                    <w:jc w:val="center"/>
                    <w:rPr>
                      <w:color w:val="auto"/>
                    </w:rPr>
                  </w:pPr>
                  <w:r>
                    <w:rPr>
                      <w:rFonts w:hint="eastAsia"/>
                      <w:color w:val="auto"/>
                    </w:rPr>
                    <w:t>单位</w:t>
                  </w:r>
                </w:p>
              </w:tc>
              <w:tc>
                <w:tcPr>
                  <w:tcW w:w="1251" w:type="pct"/>
                  <w:tcBorders>
                    <w:tl2br w:val="nil"/>
                    <w:tr2bl w:val="nil"/>
                  </w:tcBorders>
                  <w:vAlign w:val="center"/>
                </w:tcPr>
                <w:p w14:paraId="381E8CCC">
                  <w:pPr>
                    <w:pStyle w:val="33"/>
                    <w:jc w:val="center"/>
                    <w:rPr>
                      <w:color w:val="auto"/>
                    </w:rPr>
                  </w:pPr>
                  <w:r>
                    <w:rPr>
                      <w:rFonts w:hint="eastAsia"/>
                      <w:color w:val="auto"/>
                    </w:rPr>
                    <w:t>数量</w:t>
                  </w:r>
                </w:p>
              </w:tc>
            </w:tr>
            <w:tr w14:paraId="0B7FF6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4" w:type="pct"/>
                  <w:tcBorders>
                    <w:tl2br w:val="nil"/>
                    <w:tr2bl w:val="nil"/>
                  </w:tcBorders>
                  <w:vAlign w:val="center"/>
                </w:tcPr>
                <w:p w14:paraId="7D0478EA">
                  <w:pPr>
                    <w:pStyle w:val="33"/>
                    <w:jc w:val="center"/>
                    <w:rPr>
                      <w:color w:val="auto"/>
                    </w:rPr>
                  </w:pPr>
                  <w:r>
                    <w:rPr>
                      <w:rFonts w:hint="eastAsia"/>
                      <w:color w:val="auto"/>
                    </w:rPr>
                    <w:t>液体调味料</w:t>
                  </w:r>
                </w:p>
              </w:tc>
              <w:tc>
                <w:tcPr>
                  <w:tcW w:w="1485" w:type="pct"/>
                  <w:tcBorders>
                    <w:tl2br w:val="nil"/>
                    <w:tr2bl w:val="nil"/>
                  </w:tcBorders>
                  <w:vAlign w:val="center"/>
                </w:tcPr>
                <w:p w14:paraId="2F9F986D">
                  <w:pPr>
                    <w:pStyle w:val="33"/>
                    <w:jc w:val="center"/>
                    <w:rPr>
                      <w:color w:val="auto"/>
                    </w:rPr>
                  </w:pPr>
                  <w:r>
                    <w:rPr>
                      <w:rFonts w:hint="eastAsia"/>
                      <w:color w:val="auto"/>
                    </w:rPr>
                    <w:t>老卤水汁</w:t>
                  </w:r>
                </w:p>
              </w:tc>
              <w:tc>
                <w:tcPr>
                  <w:tcW w:w="678" w:type="pct"/>
                  <w:tcBorders>
                    <w:tl2br w:val="nil"/>
                    <w:tr2bl w:val="nil"/>
                  </w:tcBorders>
                  <w:vAlign w:val="center"/>
                </w:tcPr>
                <w:p w14:paraId="18A76B56">
                  <w:pPr>
                    <w:pStyle w:val="33"/>
                    <w:jc w:val="center"/>
                    <w:rPr>
                      <w:color w:val="auto"/>
                    </w:rPr>
                  </w:pPr>
                  <w:r>
                    <w:rPr>
                      <w:rFonts w:hint="eastAsia"/>
                      <w:color w:val="auto"/>
                    </w:rPr>
                    <w:t>t/a</w:t>
                  </w:r>
                </w:p>
              </w:tc>
              <w:tc>
                <w:tcPr>
                  <w:tcW w:w="1251" w:type="pct"/>
                  <w:tcBorders>
                    <w:tl2br w:val="nil"/>
                    <w:tr2bl w:val="nil"/>
                  </w:tcBorders>
                  <w:vAlign w:val="center"/>
                </w:tcPr>
                <w:p w14:paraId="69CD7EA2">
                  <w:pPr>
                    <w:pStyle w:val="33"/>
                    <w:jc w:val="center"/>
                    <w:rPr>
                      <w:color w:val="auto"/>
                    </w:rPr>
                  </w:pPr>
                  <w:r>
                    <w:rPr>
                      <w:rFonts w:hint="eastAsia"/>
                      <w:color w:val="auto"/>
                    </w:rPr>
                    <w:t>1.58</w:t>
                  </w:r>
                </w:p>
              </w:tc>
            </w:tr>
            <w:tr w14:paraId="6FC659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4" w:type="pct"/>
                  <w:tcBorders>
                    <w:tl2br w:val="nil"/>
                    <w:tr2bl w:val="nil"/>
                  </w:tcBorders>
                  <w:vAlign w:val="center"/>
                </w:tcPr>
                <w:p w14:paraId="47120B55">
                  <w:pPr>
                    <w:pStyle w:val="33"/>
                    <w:jc w:val="center"/>
                    <w:rPr>
                      <w:color w:val="auto"/>
                    </w:rPr>
                  </w:pPr>
                  <w:r>
                    <w:rPr>
                      <w:rFonts w:hint="eastAsia"/>
                      <w:color w:val="auto"/>
                    </w:rPr>
                    <w:t>半固体（酱）调味料</w:t>
                  </w:r>
                </w:p>
              </w:tc>
              <w:tc>
                <w:tcPr>
                  <w:tcW w:w="1485" w:type="pct"/>
                  <w:tcBorders>
                    <w:tl2br w:val="nil"/>
                    <w:tr2bl w:val="nil"/>
                  </w:tcBorders>
                  <w:vAlign w:val="center"/>
                </w:tcPr>
                <w:p w14:paraId="1A499053">
                  <w:pPr>
                    <w:pStyle w:val="33"/>
                    <w:jc w:val="center"/>
                    <w:rPr>
                      <w:color w:val="auto"/>
                    </w:rPr>
                  </w:pPr>
                  <w:r>
                    <w:rPr>
                      <w:rFonts w:hint="eastAsia"/>
                      <w:color w:val="auto"/>
                    </w:rPr>
                    <w:t>果酱烧烤调味料</w:t>
                  </w:r>
                </w:p>
              </w:tc>
              <w:tc>
                <w:tcPr>
                  <w:tcW w:w="678" w:type="pct"/>
                  <w:tcBorders>
                    <w:tl2br w:val="nil"/>
                    <w:tr2bl w:val="nil"/>
                  </w:tcBorders>
                  <w:vAlign w:val="center"/>
                </w:tcPr>
                <w:p w14:paraId="13328ED5">
                  <w:pPr>
                    <w:pStyle w:val="33"/>
                    <w:jc w:val="center"/>
                    <w:rPr>
                      <w:color w:val="auto"/>
                    </w:rPr>
                  </w:pPr>
                  <w:r>
                    <w:rPr>
                      <w:color w:val="auto"/>
                    </w:rPr>
                    <w:t>t/a</w:t>
                  </w:r>
                </w:p>
              </w:tc>
              <w:tc>
                <w:tcPr>
                  <w:tcW w:w="1251" w:type="pct"/>
                  <w:tcBorders>
                    <w:tl2br w:val="nil"/>
                    <w:tr2bl w:val="nil"/>
                  </w:tcBorders>
                  <w:vAlign w:val="center"/>
                </w:tcPr>
                <w:p w14:paraId="159E2A38">
                  <w:pPr>
                    <w:pStyle w:val="33"/>
                    <w:jc w:val="center"/>
                    <w:rPr>
                      <w:color w:val="auto"/>
                    </w:rPr>
                  </w:pPr>
                  <w:r>
                    <w:rPr>
                      <w:rFonts w:hint="eastAsia"/>
                      <w:color w:val="auto"/>
                    </w:rPr>
                    <w:t>54.51</w:t>
                  </w:r>
                </w:p>
              </w:tc>
            </w:tr>
            <w:tr w14:paraId="0AC8DB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4" w:type="pct"/>
                  <w:tcBorders>
                    <w:tl2br w:val="nil"/>
                    <w:tr2bl w:val="nil"/>
                  </w:tcBorders>
                  <w:vAlign w:val="center"/>
                </w:tcPr>
                <w:p w14:paraId="2767FF5A">
                  <w:pPr>
                    <w:pStyle w:val="33"/>
                    <w:jc w:val="center"/>
                    <w:rPr>
                      <w:color w:val="auto"/>
                    </w:rPr>
                  </w:pPr>
                  <w:r>
                    <w:rPr>
                      <w:rFonts w:hint="eastAsia"/>
                      <w:color w:val="auto"/>
                    </w:rPr>
                    <w:t>鸡精调味料</w:t>
                  </w:r>
                </w:p>
              </w:tc>
              <w:tc>
                <w:tcPr>
                  <w:tcW w:w="1485" w:type="pct"/>
                  <w:tcBorders>
                    <w:tl2br w:val="nil"/>
                    <w:tr2bl w:val="nil"/>
                  </w:tcBorders>
                  <w:vAlign w:val="center"/>
                </w:tcPr>
                <w:p w14:paraId="5BBBDF29">
                  <w:pPr>
                    <w:pStyle w:val="33"/>
                    <w:jc w:val="center"/>
                    <w:rPr>
                      <w:color w:val="auto"/>
                    </w:rPr>
                  </w:pPr>
                  <w:r>
                    <w:rPr>
                      <w:rFonts w:hint="eastAsia"/>
                      <w:color w:val="auto"/>
                    </w:rPr>
                    <w:t>浓缩鸡精</w:t>
                  </w:r>
                </w:p>
              </w:tc>
              <w:tc>
                <w:tcPr>
                  <w:tcW w:w="678" w:type="pct"/>
                  <w:tcBorders>
                    <w:tl2br w:val="nil"/>
                    <w:tr2bl w:val="nil"/>
                  </w:tcBorders>
                  <w:vAlign w:val="center"/>
                </w:tcPr>
                <w:p w14:paraId="516CFBF7">
                  <w:pPr>
                    <w:pStyle w:val="33"/>
                    <w:jc w:val="center"/>
                    <w:rPr>
                      <w:color w:val="auto"/>
                    </w:rPr>
                  </w:pPr>
                  <w:r>
                    <w:rPr>
                      <w:color w:val="auto"/>
                    </w:rPr>
                    <w:t>t/a</w:t>
                  </w:r>
                </w:p>
              </w:tc>
              <w:tc>
                <w:tcPr>
                  <w:tcW w:w="1251" w:type="pct"/>
                  <w:tcBorders>
                    <w:tl2br w:val="nil"/>
                    <w:tr2bl w:val="nil"/>
                  </w:tcBorders>
                  <w:vAlign w:val="center"/>
                </w:tcPr>
                <w:p w14:paraId="5D0B04ED">
                  <w:pPr>
                    <w:pStyle w:val="33"/>
                    <w:jc w:val="center"/>
                    <w:rPr>
                      <w:color w:val="auto"/>
                    </w:rPr>
                  </w:pPr>
                  <w:r>
                    <w:rPr>
                      <w:rFonts w:hint="eastAsia"/>
                      <w:color w:val="auto"/>
                    </w:rPr>
                    <w:t>0.26</w:t>
                  </w:r>
                </w:p>
              </w:tc>
            </w:tr>
            <w:tr w14:paraId="11B352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4" w:type="pct"/>
                  <w:tcBorders>
                    <w:tl2br w:val="nil"/>
                    <w:tr2bl w:val="nil"/>
                  </w:tcBorders>
                  <w:vAlign w:val="center"/>
                </w:tcPr>
                <w:p w14:paraId="56A904A8">
                  <w:pPr>
                    <w:pStyle w:val="33"/>
                    <w:jc w:val="center"/>
                    <w:rPr>
                      <w:color w:val="auto"/>
                    </w:rPr>
                  </w:pPr>
                  <w:r>
                    <w:rPr>
                      <w:rFonts w:hint="eastAsia"/>
                      <w:color w:val="auto"/>
                    </w:rPr>
                    <w:t>固体调味料</w:t>
                  </w:r>
                </w:p>
              </w:tc>
              <w:tc>
                <w:tcPr>
                  <w:tcW w:w="1485" w:type="pct"/>
                  <w:tcBorders>
                    <w:tl2br w:val="nil"/>
                    <w:tr2bl w:val="nil"/>
                  </w:tcBorders>
                  <w:vAlign w:val="center"/>
                </w:tcPr>
                <w:p w14:paraId="2D2495C5">
                  <w:pPr>
                    <w:pStyle w:val="33"/>
                    <w:jc w:val="center"/>
                    <w:rPr>
                      <w:rFonts w:hint="eastAsia" w:eastAsia="宋体"/>
                      <w:color w:val="auto"/>
                      <w:lang w:eastAsia="zh-CN"/>
                    </w:rPr>
                  </w:pPr>
                  <w:r>
                    <w:rPr>
                      <w:rFonts w:hint="eastAsia"/>
                      <w:color w:val="auto"/>
                      <w:lang w:eastAsia="zh-CN"/>
                    </w:rPr>
                    <w:t>香辛料粉及复合调味粉</w:t>
                  </w:r>
                </w:p>
              </w:tc>
              <w:tc>
                <w:tcPr>
                  <w:tcW w:w="678" w:type="pct"/>
                  <w:tcBorders>
                    <w:tl2br w:val="nil"/>
                    <w:tr2bl w:val="nil"/>
                  </w:tcBorders>
                  <w:vAlign w:val="center"/>
                </w:tcPr>
                <w:p w14:paraId="6F928041">
                  <w:pPr>
                    <w:pStyle w:val="33"/>
                    <w:jc w:val="center"/>
                    <w:rPr>
                      <w:color w:val="auto"/>
                    </w:rPr>
                  </w:pPr>
                  <w:r>
                    <w:rPr>
                      <w:color w:val="auto"/>
                    </w:rPr>
                    <w:t>t/a</w:t>
                  </w:r>
                </w:p>
              </w:tc>
              <w:tc>
                <w:tcPr>
                  <w:tcW w:w="1251" w:type="pct"/>
                  <w:tcBorders>
                    <w:tl2br w:val="nil"/>
                    <w:tr2bl w:val="nil"/>
                  </w:tcBorders>
                  <w:vAlign w:val="center"/>
                </w:tcPr>
                <w:p w14:paraId="624F27B6">
                  <w:pPr>
                    <w:pStyle w:val="33"/>
                    <w:jc w:val="center"/>
                    <w:rPr>
                      <w:color w:val="auto"/>
                    </w:rPr>
                  </w:pPr>
                  <w:r>
                    <w:rPr>
                      <w:rFonts w:hint="eastAsia"/>
                      <w:color w:val="auto"/>
                    </w:rPr>
                    <w:t>12.19</w:t>
                  </w:r>
                </w:p>
              </w:tc>
            </w:tr>
            <w:tr w14:paraId="7C7574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4" w:type="pct"/>
                  <w:vAlign w:val="center"/>
                </w:tcPr>
                <w:p w14:paraId="277A5D3A">
                  <w:pPr>
                    <w:pStyle w:val="33"/>
                    <w:jc w:val="center"/>
                    <w:rPr>
                      <w:rFonts w:hint="eastAsia" w:eastAsia="宋体"/>
                      <w:color w:val="auto"/>
                      <w:lang w:eastAsia="zh-CN"/>
                    </w:rPr>
                  </w:pPr>
                  <w:r>
                    <w:rPr>
                      <w:rFonts w:hint="eastAsia"/>
                      <w:color w:val="auto"/>
                      <w:lang w:eastAsia="zh-CN"/>
                    </w:rPr>
                    <w:t>复合调味油</w:t>
                  </w:r>
                </w:p>
              </w:tc>
              <w:tc>
                <w:tcPr>
                  <w:tcW w:w="1485" w:type="pct"/>
                  <w:vAlign w:val="center"/>
                </w:tcPr>
                <w:p w14:paraId="1C574CDE">
                  <w:pPr>
                    <w:pStyle w:val="33"/>
                    <w:jc w:val="center"/>
                    <w:rPr>
                      <w:color w:val="auto"/>
                    </w:rPr>
                  </w:pPr>
                  <w:r>
                    <w:rPr>
                      <w:color w:val="auto"/>
                    </w:rPr>
                    <w:t>特辣辣椒油</w:t>
                  </w:r>
                </w:p>
              </w:tc>
              <w:tc>
                <w:tcPr>
                  <w:tcW w:w="678" w:type="pct"/>
                  <w:vAlign w:val="center"/>
                </w:tcPr>
                <w:p w14:paraId="5C2CAF79">
                  <w:pPr>
                    <w:pStyle w:val="33"/>
                    <w:jc w:val="center"/>
                    <w:rPr>
                      <w:color w:val="auto"/>
                    </w:rPr>
                  </w:pPr>
                  <w:r>
                    <w:rPr>
                      <w:color w:val="auto"/>
                    </w:rPr>
                    <w:t>t/a</w:t>
                  </w:r>
                </w:p>
              </w:tc>
              <w:tc>
                <w:tcPr>
                  <w:tcW w:w="1251" w:type="pct"/>
                  <w:vAlign w:val="center"/>
                </w:tcPr>
                <w:p w14:paraId="39549218">
                  <w:pPr>
                    <w:pStyle w:val="33"/>
                    <w:jc w:val="center"/>
                    <w:rPr>
                      <w:color w:val="auto"/>
                    </w:rPr>
                  </w:pPr>
                  <w:r>
                    <w:rPr>
                      <w:rFonts w:hint="eastAsia"/>
                      <w:color w:val="auto"/>
                    </w:rPr>
                    <w:t>4.87</w:t>
                  </w:r>
                </w:p>
              </w:tc>
            </w:tr>
            <w:tr w14:paraId="63F411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4" w:type="pct"/>
                  <w:vAlign w:val="center"/>
                </w:tcPr>
                <w:p w14:paraId="40F37A3C">
                  <w:pPr>
                    <w:pStyle w:val="33"/>
                    <w:jc w:val="center"/>
                    <w:rPr>
                      <w:color w:val="auto"/>
                    </w:rPr>
                  </w:pPr>
                  <w:r>
                    <w:rPr>
                      <w:rFonts w:hint="eastAsia"/>
                      <w:color w:val="auto"/>
                    </w:rPr>
                    <w:t>食糖</w:t>
                  </w:r>
                </w:p>
              </w:tc>
              <w:tc>
                <w:tcPr>
                  <w:tcW w:w="1485" w:type="pct"/>
                  <w:vAlign w:val="center"/>
                </w:tcPr>
                <w:p w14:paraId="57A52E94">
                  <w:pPr>
                    <w:pStyle w:val="33"/>
                    <w:jc w:val="center"/>
                    <w:rPr>
                      <w:color w:val="auto"/>
                    </w:rPr>
                  </w:pPr>
                  <w:r>
                    <w:rPr>
                      <w:color w:val="auto"/>
                    </w:rPr>
                    <w:t>白砂糖</w:t>
                  </w:r>
                </w:p>
              </w:tc>
              <w:tc>
                <w:tcPr>
                  <w:tcW w:w="678" w:type="pct"/>
                  <w:vAlign w:val="center"/>
                </w:tcPr>
                <w:p w14:paraId="76F8DB59">
                  <w:pPr>
                    <w:pStyle w:val="33"/>
                    <w:jc w:val="center"/>
                    <w:rPr>
                      <w:color w:val="auto"/>
                    </w:rPr>
                  </w:pPr>
                  <w:r>
                    <w:rPr>
                      <w:color w:val="auto"/>
                    </w:rPr>
                    <w:t>t/a</w:t>
                  </w:r>
                </w:p>
              </w:tc>
              <w:tc>
                <w:tcPr>
                  <w:tcW w:w="1251" w:type="pct"/>
                  <w:vAlign w:val="center"/>
                </w:tcPr>
                <w:p w14:paraId="4403E1A3">
                  <w:pPr>
                    <w:pStyle w:val="33"/>
                    <w:jc w:val="center"/>
                    <w:rPr>
                      <w:color w:val="auto"/>
                    </w:rPr>
                  </w:pPr>
                  <w:r>
                    <w:rPr>
                      <w:rFonts w:hint="eastAsia"/>
                      <w:color w:val="auto"/>
                    </w:rPr>
                    <w:t>76.59</w:t>
                  </w:r>
                </w:p>
              </w:tc>
            </w:tr>
            <w:tr w14:paraId="311D63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748" w:type="pct"/>
                  <w:gridSpan w:val="3"/>
                  <w:vAlign w:val="center"/>
                </w:tcPr>
                <w:p w14:paraId="25464800">
                  <w:pPr>
                    <w:pStyle w:val="33"/>
                    <w:jc w:val="center"/>
                    <w:rPr>
                      <w:color w:val="auto"/>
                    </w:rPr>
                  </w:pPr>
                  <w:r>
                    <w:rPr>
                      <w:rFonts w:hint="eastAsia"/>
                      <w:color w:val="auto"/>
                    </w:rPr>
                    <w:t>合计</w:t>
                  </w:r>
                </w:p>
              </w:tc>
              <w:tc>
                <w:tcPr>
                  <w:tcW w:w="1251" w:type="pct"/>
                  <w:vAlign w:val="center"/>
                </w:tcPr>
                <w:p w14:paraId="1444DEA0">
                  <w:pPr>
                    <w:pStyle w:val="33"/>
                    <w:jc w:val="center"/>
                    <w:rPr>
                      <w:color w:val="auto"/>
                    </w:rPr>
                  </w:pPr>
                  <w:r>
                    <w:rPr>
                      <w:rFonts w:hint="eastAsia"/>
                      <w:color w:val="auto"/>
                    </w:rPr>
                    <w:t>150</w:t>
                  </w:r>
                </w:p>
              </w:tc>
            </w:tr>
          </w:tbl>
          <w:p w14:paraId="4F815112">
            <w:pPr>
              <w:ind w:firstLine="482"/>
              <w:rPr>
                <w:color w:val="auto"/>
              </w:rPr>
            </w:pPr>
            <w:r>
              <w:rPr>
                <w:rFonts w:hint="eastAsia"/>
                <w:b/>
                <w:bCs/>
                <w:color w:val="auto"/>
              </w:rPr>
              <w:t>7、项目工作时间与劳动定员</w:t>
            </w:r>
          </w:p>
          <w:p w14:paraId="2F0FFD80">
            <w:pPr>
              <w:ind w:firstLine="480"/>
              <w:rPr>
                <w:color w:val="auto"/>
              </w:rPr>
            </w:pPr>
            <w:r>
              <w:rPr>
                <w:rFonts w:hint="eastAsia"/>
                <w:color w:val="auto"/>
              </w:rPr>
              <w:t>本项目劳动定员33人，年工作290天，生产实行一班制，每班工作8小时</w:t>
            </w:r>
            <w:r>
              <w:rPr>
                <w:rFonts w:hint="eastAsia"/>
                <w:color w:val="auto"/>
                <w:lang w:eastAsia="zh-CN"/>
              </w:rPr>
              <w:t>（</w:t>
            </w:r>
            <w:r>
              <w:rPr>
                <w:rFonts w:hint="eastAsia"/>
                <w:color w:val="auto"/>
                <w:lang w:val="en-US" w:eastAsia="zh-CN"/>
              </w:rPr>
              <w:t>8:00-17:00</w:t>
            </w:r>
            <w:r>
              <w:rPr>
                <w:rFonts w:hint="eastAsia"/>
                <w:color w:val="auto"/>
                <w:lang w:eastAsia="zh-CN"/>
              </w:rPr>
              <w:t>）</w:t>
            </w:r>
            <w:r>
              <w:rPr>
                <w:rFonts w:hint="eastAsia"/>
                <w:color w:val="auto"/>
              </w:rPr>
              <w:t>，年生产时间2320h。厂区内不设食堂及员工宿舍，无员工在厂区内值班住宿。</w:t>
            </w:r>
          </w:p>
          <w:p w14:paraId="137CE8CD">
            <w:pPr>
              <w:ind w:firstLine="482"/>
              <w:rPr>
                <w:color w:val="auto"/>
              </w:rPr>
            </w:pPr>
            <w:r>
              <w:rPr>
                <w:rFonts w:hint="eastAsia"/>
                <w:b/>
                <w:bCs/>
                <w:color w:val="auto"/>
              </w:rPr>
              <w:t>8、公用工程</w:t>
            </w:r>
          </w:p>
          <w:p w14:paraId="39FBB705">
            <w:pPr>
              <w:ind w:firstLine="480"/>
              <w:rPr>
                <w:color w:val="auto"/>
              </w:rPr>
            </w:pPr>
            <w:r>
              <w:rPr>
                <w:rFonts w:hint="eastAsia"/>
                <w:color w:val="auto"/>
              </w:rPr>
              <w:t>（1）给水</w:t>
            </w:r>
          </w:p>
          <w:p w14:paraId="08A91DA7">
            <w:pPr>
              <w:ind w:firstLine="480"/>
              <w:rPr>
                <w:color w:val="auto"/>
              </w:rPr>
            </w:pPr>
            <w:r>
              <w:rPr>
                <w:rFonts w:hint="eastAsia"/>
                <w:color w:val="auto"/>
              </w:rPr>
              <w:t>本项目用水主要包括员工生活用水、卤汁配料用水、原料清洗用水、洗瓶用水、设备清洗用水和车间地面清洗用水，均由市政供水管网供应。</w:t>
            </w:r>
          </w:p>
          <w:p w14:paraId="5AE3332F">
            <w:pPr>
              <w:ind w:firstLine="480"/>
              <w:rPr>
                <w:color w:val="auto"/>
              </w:rPr>
            </w:pPr>
            <w:r>
              <w:rPr>
                <w:rFonts w:hint="eastAsia"/>
                <w:color w:val="auto"/>
              </w:rPr>
              <w:t>1）员工生活用水</w:t>
            </w:r>
          </w:p>
          <w:p w14:paraId="592F6FA9">
            <w:pPr>
              <w:ind w:firstLine="480"/>
              <w:rPr>
                <w:color w:val="auto"/>
              </w:rPr>
            </w:pPr>
            <w:r>
              <w:rPr>
                <w:rFonts w:hint="eastAsia"/>
                <w:color w:val="auto"/>
              </w:rPr>
              <w:t>本项目员工33人，员工生活用水包括洗手、如厕用水等生活用水，参照广西壮族自治区地方标准《城镇生活用水定额》（DB45/T679-2023）并结合实际情况，不住厂员工用水量按0.05m</w:t>
            </w:r>
            <w:r>
              <w:rPr>
                <w:rFonts w:hint="eastAsia"/>
                <w:color w:val="auto"/>
                <w:vertAlign w:val="superscript"/>
              </w:rPr>
              <w:t>3</w:t>
            </w:r>
            <w:r>
              <w:rPr>
                <w:rFonts w:hint="eastAsia"/>
                <w:color w:val="auto"/>
              </w:rPr>
              <w:t>/人·d计算，则员工用水总量为478.5m</w:t>
            </w:r>
            <w:r>
              <w:rPr>
                <w:rFonts w:hint="eastAsia"/>
                <w:color w:val="auto"/>
                <w:vertAlign w:val="superscript"/>
              </w:rPr>
              <w:t>3</w:t>
            </w:r>
            <w:r>
              <w:rPr>
                <w:rFonts w:hint="eastAsia"/>
                <w:color w:val="auto"/>
              </w:rPr>
              <w:t>/a、1.65m</w:t>
            </w:r>
            <w:r>
              <w:rPr>
                <w:rFonts w:hint="eastAsia"/>
                <w:color w:val="auto"/>
                <w:vertAlign w:val="superscript"/>
              </w:rPr>
              <w:t>3</w:t>
            </w:r>
            <w:r>
              <w:rPr>
                <w:rFonts w:hint="eastAsia"/>
                <w:color w:val="auto"/>
              </w:rPr>
              <w:t>/d。</w:t>
            </w:r>
          </w:p>
          <w:p w14:paraId="0BDB7B38">
            <w:pPr>
              <w:ind w:firstLine="480"/>
              <w:rPr>
                <w:color w:val="auto"/>
              </w:rPr>
            </w:pPr>
            <w:r>
              <w:rPr>
                <w:rFonts w:hint="eastAsia"/>
                <w:color w:val="auto"/>
              </w:rPr>
              <w:t>2）原料清洗用水</w:t>
            </w:r>
          </w:p>
          <w:p w14:paraId="7E12B821">
            <w:pPr>
              <w:wordWrap w:val="0"/>
              <w:ind w:firstLine="480"/>
              <w:rPr>
                <w:rFonts w:hint="eastAsia" w:eastAsia="宋体"/>
                <w:color w:val="auto"/>
                <w:lang w:val="en-US" w:eastAsia="zh-CN"/>
              </w:rPr>
            </w:pPr>
            <w:r>
              <w:rPr>
                <w:rFonts w:hint="eastAsia"/>
                <w:color w:val="auto"/>
              </w:rPr>
              <w:t>本项目部分原料在进入后续生产工序前需进行挑选、清洗，主要包括辣椒、姜、蒜、葱等。根据实际情况及类比同类项目《甘棠明善食品有限公司年产2200吨冻品类食品生产线扩建项目》</w:t>
            </w:r>
            <w:r>
              <w:rPr>
                <w:rFonts w:hint="eastAsia"/>
                <w:color w:val="auto"/>
              </w:rPr>
              <w:t>https://sthjj.gz.gov.cn/attachment/7/7758/7758710/9932016.pdf?utm_source=chatgpt.com</w:t>
            </w:r>
            <w:r>
              <w:rPr>
                <w:rFonts w:hint="eastAsia"/>
                <w:color w:val="auto"/>
              </w:rPr>
              <w:t>，原料清洗用水量为2.0m</w:t>
            </w:r>
            <w:r>
              <w:rPr>
                <w:rFonts w:hint="eastAsia"/>
                <w:color w:val="auto"/>
                <w:vertAlign w:val="superscript"/>
              </w:rPr>
              <w:t>3</w:t>
            </w:r>
            <w:r>
              <w:rPr>
                <w:rFonts w:hint="eastAsia"/>
                <w:color w:val="auto"/>
              </w:rPr>
              <w:t>/t-原料。项目原料用量</w:t>
            </w:r>
            <w:r>
              <w:rPr>
                <w:rFonts w:hint="eastAsia"/>
                <w:color w:val="auto"/>
              </w:rPr>
              <w:t>总共为1.4</w:t>
            </w:r>
            <w:r>
              <w:rPr>
                <w:rFonts w:hint="eastAsia"/>
                <w:color w:val="auto"/>
                <w:lang w:val="en-US" w:eastAsia="zh-CN"/>
              </w:rPr>
              <w:t>5</w:t>
            </w:r>
            <w:r>
              <w:rPr>
                <w:rFonts w:hint="eastAsia"/>
                <w:color w:val="auto"/>
              </w:rPr>
              <w:t>t/a，则清洗水用量为0.0</w:t>
            </w:r>
            <w:r>
              <w:rPr>
                <w:rFonts w:hint="eastAsia"/>
                <w:color w:val="auto"/>
                <w:lang w:val="en-US" w:eastAsia="zh-CN"/>
              </w:rPr>
              <w:t>10</w:t>
            </w:r>
            <w:r>
              <w:rPr>
                <w:rFonts w:hint="eastAsia"/>
                <w:color w:val="auto"/>
              </w:rPr>
              <w:t>m</w:t>
            </w:r>
            <w:r>
              <w:rPr>
                <w:rFonts w:hint="eastAsia"/>
                <w:color w:val="auto"/>
                <w:vertAlign w:val="superscript"/>
              </w:rPr>
              <w:t>3</w:t>
            </w:r>
            <w:r>
              <w:rPr>
                <w:rFonts w:hint="eastAsia"/>
                <w:color w:val="auto"/>
              </w:rPr>
              <w:t>/d，2.</w:t>
            </w:r>
            <w:r>
              <w:rPr>
                <w:rFonts w:hint="eastAsia"/>
                <w:color w:val="auto"/>
                <w:lang w:val="en-US" w:eastAsia="zh-CN"/>
              </w:rPr>
              <w:t>9</w:t>
            </w:r>
            <w:r>
              <w:rPr>
                <w:rFonts w:hint="eastAsia"/>
                <w:color w:val="auto"/>
              </w:rPr>
              <w:t>m</w:t>
            </w:r>
            <w:r>
              <w:rPr>
                <w:rFonts w:hint="eastAsia"/>
                <w:color w:val="auto"/>
                <w:vertAlign w:val="superscript"/>
              </w:rPr>
              <w:t>3</w:t>
            </w:r>
            <w:r>
              <w:rPr>
                <w:rFonts w:hint="eastAsia"/>
                <w:color w:val="auto"/>
              </w:rPr>
              <w:t>/a。</w:t>
            </w:r>
          </w:p>
          <w:p w14:paraId="08B5CE10">
            <w:pPr>
              <w:wordWrap w:val="0"/>
              <w:ind w:firstLine="480"/>
              <w:rPr>
                <w:rFonts w:hint="eastAsia"/>
                <w:color w:val="auto"/>
                <w:lang w:val="en-US" w:eastAsia="zh-CN"/>
              </w:rPr>
            </w:pPr>
            <w:r>
              <w:rPr>
                <w:rFonts w:hint="eastAsia"/>
                <w:color w:val="auto"/>
                <w:lang w:val="en-US" w:eastAsia="zh-CN"/>
              </w:rPr>
              <w:t>3）卤汁配料用水</w:t>
            </w:r>
          </w:p>
          <w:p w14:paraId="18EB1EB7">
            <w:pPr>
              <w:wordWrap w:val="0"/>
              <w:ind w:firstLine="480"/>
              <w:rPr>
                <w:rFonts w:hint="eastAsia"/>
                <w:color w:val="auto"/>
                <w:lang w:val="en-US" w:eastAsia="zh-CN"/>
              </w:rPr>
            </w:pPr>
            <w:r>
              <w:rPr>
                <w:rFonts w:hint="eastAsia"/>
                <w:color w:val="auto"/>
                <w:lang w:val="en-US" w:eastAsia="zh-CN"/>
              </w:rPr>
              <w:t>本项目老卤水汁生产过程中需按产品配方加入饮用水。根据企业实际生产配方，配料水占比约为65%。本项目老卤水汁产量为1.58t/a，核算卤汁配料水年用量约为1.027m</w:t>
            </w:r>
            <w:r>
              <w:rPr>
                <w:rFonts w:hint="eastAsia"/>
                <w:color w:val="auto"/>
                <w:vertAlign w:val="superscript"/>
                <w:lang w:val="en-US" w:eastAsia="zh-CN"/>
              </w:rPr>
              <w:t>3</w:t>
            </w:r>
            <w:r>
              <w:rPr>
                <w:rFonts w:hint="eastAsia"/>
                <w:color w:val="auto"/>
                <w:lang w:val="en-US" w:eastAsia="zh-CN"/>
              </w:rPr>
              <w:t>/a，折合0.0035m</w:t>
            </w:r>
            <w:r>
              <w:rPr>
                <w:rFonts w:hint="eastAsia"/>
                <w:color w:val="auto"/>
                <w:vertAlign w:val="superscript"/>
                <w:lang w:val="en-US" w:eastAsia="zh-CN"/>
              </w:rPr>
              <w:t>3</w:t>
            </w:r>
            <w:r>
              <w:rPr>
                <w:rFonts w:hint="eastAsia"/>
                <w:color w:val="auto"/>
                <w:lang w:val="en-US" w:eastAsia="zh-CN"/>
              </w:rPr>
              <w:t>/d。该部分水在熟制过程中少量蒸发，其余随产品带走，不产生废水。</w:t>
            </w:r>
          </w:p>
          <w:p w14:paraId="58772E86">
            <w:pPr>
              <w:wordWrap w:val="0"/>
              <w:ind w:firstLine="480"/>
              <w:rPr>
                <w:rFonts w:hint="eastAsia"/>
                <w:color w:val="auto"/>
                <w:lang w:val="en-US" w:eastAsia="zh-CN"/>
              </w:rPr>
            </w:pPr>
            <w:r>
              <w:rPr>
                <w:rFonts w:hint="eastAsia"/>
                <w:color w:val="auto"/>
                <w:lang w:val="en-US" w:eastAsia="zh-CN"/>
              </w:rPr>
              <w:t>4）洗瓶用水</w:t>
            </w:r>
          </w:p>
          <w:p w14:paraId="6CADBD32">
            <w:pPr>
              <w:wordWrap w:val="0"/>
              <w:ind w:firstLine="480"/>
              <w:rPr>
                <w:rFonts w:hint="default"/>
                <w:color w:val="auto"/>
                <w:lang w:val="en-US" w:eastAsia="zh-CN"/>
              </w:rPr>
            </w:pPr>
            <w:r>
              <w:rPr>
                <w:rFonts w:hint="default"/>
                <w:color w:val="auto"/>
                <w:lang w:val="en-US" w:eastAsia="zh-CN"/>
              </w:rPr>
              <w:t>本项目果酱烧烤调味料采用玻璃瓶包装，灌装前使用1台半自动冲瓶机对空瓶进行冲洗。项目玻璃瓶年用量</w:t>
            </w:r>
            <w:r>
              <w:rPr>
                <w:rFonts w:hint="default"/>
                <w:color w:val="auto"/>
                <w:lang w:val="en-US" w:eastAsia="zh-CN"/>
              </w:rPr>
              <w:t>为</w:t>
            </w:r>
            <w:r>
              <w:rPr>
                <w:rFonts w:hint="eastAsia"/>
                <w:color w:val="auto"/>
                <w:lang w:val="en-US" w:eastAsia="zh-CN"/>
              </w:rPr>
              <w:t>152910</w:t>
            </w:r>
            <w:r>
              <w:rPr>
                <w:rFonts w:hint="default"/>
                <w:color w:val="auto"/>
                <w:lang w:val="en-US" w:eastAsia="zh-CN"/>
              </w:rPr>
              <w:t>个，冲洗用水量按0.1L/个计，则洗瓶用水量约为0.05</w:t>
            </w:r>
            <w:r>
              <w:rPr>
                <w:rFonts w:hint="eastAsia"/>
                <w:color w:val="auto"/>
                <w:lang w:val="en-US" w:eastAsia="zh-CN"/>
              </w:rPr>
              <w:t>3</w:t>
            </w:r>
            <w:r>
              <w:rPr>
                <w:rFonts w:hint="default"/>
                <w:color w:val="auto"/>
                <w:lang w:val="en-US" w:eastAsia="zh-CN"/>
              </w:rPr>
              <w:t>m</w:t>
            </w:r>
            <w:r>
              <w:rPr>
                <w:rFonts w:hint="eastAsia"/>
                <w:color w:val="auto"/>
                <w:vertAlign w:val="superscript"/>
                <w:lang w:val="en-US" w:eastAsia="zh-CN"/>
              </w:rPr>
              <w:t>3</w:t>
            </w:r>
            <w:r>
              <w:rPr>
                <w:rFonts w:hint="default"/>
                <w:color w:val="auto"/>
                <w:lang w:val="en-US" w:eastAsia="zh-CN"/>
              </w:rPr>
              <w:t>/d、15.</w:t>
            </w:r>
            <w:r>
              <w:rPr>
                <w:rFonts w:hint="eastAsia"/>
                <w:color w:val="auto"/>
                <w:lang w:val="en-US" w:eastAsia="zh-CN"/>
              </w:rPr>
              <w:t>291</w:t>
            </w:r>
            <w:r>
              <w:rPr>
                <w:rFonts w:hint="default"/>
                <w:color w:val="auto"/>
                <w:lang w:val="en-US" w:eastAsia="zh-CN"/>
              </w:rPr>
              <w:t>m</w:t>
            </w:r>
            <w:r>
              <w:rPr>
                <w:rFonts w:hint="eastAsia"/>
                <w:color w:val="auto"/>
                <w:vertAlign w:val="superscript"/>
                <w:lang w:val="en-US" w:eastAsia="zh-CN"/>
              </w:rPr>
              <w:t>3</w:t>
            </w:r>
            <w:r>
              <w:rPr>
                <w:rFonts w:hint="default"/>
                <w:color w:val="auto"/>
                <w:lang w:val="en-US" w:eastAsia="zh-CN"/>
              </w:rPr>
              <w:t>/a。</w:t>
            </w:r>
          </w:p>
          <w:p w14:paraId="2F2ED14F">
            <w:pPr>
              <w:wordWrap w:val="0"/>
              <w:ind w:firstLine="480"/>
              <w:rPr>
                <w:color w:val="auto"/>
              </w:rPr>
            </w:pPr>
            <w:r>
              <w:rPr>
                <w:rFonts w:hint="eastAsia"/>
                <w:color w:val="auto"/>
                <w:lang w:val="en-US" w:eastAsia="zh-CN"/>
              </w:rPr>
              <w:t>5</w:t>
            </w:r>
            <w:r>
              <w:rPr>
                <w:rFonts w:hint="eastAsia"/>
                <w:color w:val="auto"/>
              </w:rPr>
              <w:t>）设备清洗用水</w:t>
            </w:r>
          </w:p>
          <w:p w14:paraId="32209F56">
            <w:pPr>
              <w:widowControl/>
              <w:kinsoku w:val="0"/>
              <w:wordWrap w:val="0"/>
              <w:ind w:firstLine="480"/>
              <w:jc w:val="left"/>
              <w:rPr>
                <w:color w:val="auto"/>
              </w:rPr>
            </w:pPr>
            <w:r>
              <w:rPr>
                <w:rFonts w:hint="eastAsia"/>
                <w:color w:val="auto"/>
              </w:rPr>
              <w:t>经核实，本项目需进行清洗的煮制、炒制、反应及灌装设备共6台。</w:t>
            </w:r>
            <w:r>
              <w:rPr>
                <w:rFonts w:hint="eastAsia"/>
                <w:color w:val="auto"/>
                <w:lang w:val="en-US" w:eastAsia="zh-CN"/>
              </w:rPr>
              <w:t>类比《巨余生物技术（广州）有限公司年产压片糖果1000万片、复合蛋白饮料50万支、植物饮料50万支、固体饮料50万条生产线项目》https://sthjj.gz.gov.cn/attachment/7/7574/7574531/9558004.pdf?utm_source=chatgpt.com，</w:t>
            </w:r>
            <w:r>
              <w:rPr>
                <w:rFonts w:hint="eastAsia"/>
                <w:color w:val="auto"/>
              </w:rPr>
              <w:t>设备单次清洗用水量按0.1m</w:t>
            </w:r>
            <w:r>
              <w:rPr>
                <w:rFonts w:hint="eastAsia"/>
                <w:color w:val="auto"/>
                <w:vertAlign w:val="superscript"/>
                <w:lang w:val="en-US" w:eastAsia="zh-CN"/>
              </w:rPr>
              <w:t>3</w:t>
            </w:r>
            <w:r>
              <w:rPr>
                <w:rFonts w:hint="eastAsia"/>
                <w:color w:val="auto"/>
              </w:rPr>
              <w:t>/台·次计，则设备单次清洗用水量为0.6m</w:t>
            </w:r>
            <w:r>
              <w:rPr>
                <w:rFonts w:hint="eastAsia"/>
                <w:color w:val="auto"/>
                <w:vertAlign w:val="superscript"/>
                <w:lang w:val="en-US" w:eastAsia="zh-CN"/>
              </w:rPr>
              <w:t>3</w:t>
            </w:r>
            <w:r>
              <w:rPr>
                <w:rFonts w:hint="eastAsia"/>
                <w:color w:val="auto"/>
              </w:rPr>
              <w:t>；配套管道及周转容器单次清洗用水量按0.2m</w:t>
            </w:r>
            <w:r>
              <w:rPr>
                <w:rFonts w:hint="eastAsia"/>
                <w:color w:val="auto"/>
                <w:vertAlign w:val="superscript"/>
                <w:lang w:val="en-US" w:eastAsia="zh-CN"/>
              </w:rPr>
              <w:t>3</w:t>
            </w:r>
            <w:r>
              <w:rPr>
                <w:rFonts w:hint="eastAsia"/>
                <w:color w:val="auto"/>
              </w:rPr>
              <w:t>计，合计单次清洗用水量为0.8m</w:t>
            </w:r>
            <w:r>
              <w:rPr>
                <w:rFonts w:hint="eastAsia"/>
                <w:color w:val="auto"/>
                <w:vertAlign w:val="superscript"/>
                <w:lang w:val="en-US" w:eastAsia="zh-CN"/>
              </w:rPr>
              <w:t>3</w:t>
            </w:r>
            <w:r>
              <w:rPr>
                <w:rFonts w:hint="eastAsia"/>
                <w:color w:val="auto"/>
              </w:rPr>
              <w:t>。根据食品生产卫生要求，每个生产日开工前及生产结束后各清洗1次，每天清洗2次，则设备清洗用水量约为1.6m</w:t>
            </w:r>
            <w:r>
              <w:rPr>
                <w:rFonts w:hint="eastAsia"/>
                <w:color w:val="auto"/>
                <w:vertAlign w:val="superscript"/>
                <w:lang w:val="en-US" w:eastAsia="zh-CN"/>
              </w:rPr>
              <w:t>3</w:t>
            </w:r>
            <w:r>
              <w:rPr>
                <w:rFonts w:hint="eastAsia"/>
                <w:color w:val="auto"/>
              </w:rPr>
              <w:t>/d、464m</w:t>
            </w:r>
            <w:r>
              <w:rPr>
                <w:rFonts w:hint="eastAsia"/>
                <w:color w:val="auto"/>
                <w:vertAlign w:val="superscript"/>
                <w:lang w:val="en-US" w:eastAsia="zh-CN"/>
              </w:rPr>
              <w:t>3</w:t>
            </w:r>
            <w:r>
              <w:rPr>
                <w:rFonts w:hint="eastAsia"/>
                <w:color w:val="auto"/>
              </w:rPr>
              <w:t>/a。</w:t>
            </w:r>
          </w:p>
          <w:p w14:paraId="288D85B4">
            <w:pPr>
              <w:ind w:firstLine="480"/>
              <w:rPr>
                <w:color w:val="auto"/>
              </w:rPr>
            </w:pPr>
            <w:r>
              <w:rPr>
                <w:rFonts w:hint="eastAsia"/>
                <w:color w:val="auto"/>
                <w:lang w:val="en-US" w:eastAsia="zh-CN"/>
              </w:rPr>
              <w:t>6</w:t>
            </w:r>
            <w:r>
              <w:rPr>
                <w:rFonts w:hint="eastAsia"/>
                <w:color w:val="auto"/>
              </w:rPr>
              <w:t>）车间清洗用水</w:t>
            </w:r>
          </w:p>
          <w:p w14:paraId="584F0D9A">
            <w:pPr>
              <w:ind w:firstLine="480"/>
              <w:rPr>
                <w:color w:val="auto"/>
              </w:rPr>
            </w:pPr>
            <w:r>
              <w:rPr>
                <w:color w:val="auto"/>
              </w:rPr>
              <w:t>本项目已建成并投入生产，为满足食品生产卫生要求，现状生产过程中需定期对预处理间、调配混合间、熟制间、冷却间等生产区域地面进行清洗。参考同类型食品加工项目《甘棠明善食品有限公司年产2200吨冻品类食品生产线扩建项目》，车间地面清洗用水量按2L/m</w:t>
            </w:r>
            <w:r>
              <w:rPr>
                <w:rFonts w:hint="eastAsia"/>
                <w:color w:val="auto"/>
                <w:vertAlign w:val="superscript"/>
              </w:rPr>
              <w:t>2</w:t>
            </w:r>
            <w:r>
              <w:rPr>
                <w:rFonts w:hint="eastAsia"/>
                <w:color w:val="auto"/>
              </w:rPr>
              <w:t>·</w:t>
            </w:r>
            <w:r>
              <w:rPr>
                <w:color w:val="auto"/>
              </w:rPr>
              <w:t>次计，每天清洗1次，需清洗车间面积约1000m</w:t>
            </w:r>
            <w:r>
              <w:rPr>
                <w:rFonts w:hint="eastAsia"/>
                <w:color w:val="auto"/>
                <w:vertAlign w:val="superscript"/>
              </w:rPr>
              <w:t>2</w:t>
            </w:r>
            <w:r>
              <w:rPr>
                <w:color w:val="auto"/>
              </w:rPr>
              <w:t>，则车间清洗用水量约为2.0m</w:t>
            </w:r>
            <w:r>
              <w:rPr>
                <w:rFonts w:hint="eastAsia"/>
                <w:color w:val="auto"/>
                <w:vertAlign w:val="superscript"/>
                <w:lang w:val="en-US" w:eastAsia="zh-CN"/>
              </w:rPr>
              <w:t>3</w:t>
            </w:r>
            <w:r>
              <w:rPr>
                <w:color w:val="auto"/>
              </w:rPr>
              <w:t>/d、580m</w:t>
            </w:r>
            <w:r>
              <w:rPr>
                <w:rFonts w:hint="eastAsia"/>
                <w:color w:val="auto"/>
                <w:vertAlign w:val="superscript"/>
              </w:rPr>
              <w:t>3</w:t>
            </w:r>
            <w:r>
              <w:rPr>
                <w:color w:val="auto"/>
              </w:rPr>
              <w:t>/a。</w:t>
            </w:r>
          </w:p>
          <w:p w14:paraId="6BC9A429">
            <w:pPr>
              <w:ind w:firstLine="480"/>
              <w:rPr>
                <w:color w:val="auto"/>
              </w:rPr>
            </w:pPr>
            <w:r>
              <w:rPr>
                <w:rFonts w:hint="eastAsia"/>
                <w:color w:val="auto"/>
              </w:rPr>
              <w:t>（2）排水</w:t>
            </w:r>
          </w:p>
          <w:p w14:paraId="31ABA338">
            <w:pPr>
              <w:ind w:firstLine="480"/>
              <w:rPr>
                <w:color w:val="auto"/>
              </w:rPr>
            </w:pPr>
            <w:r>
              <w:rPr>
                <w:rFonts w:hint="eastAsia"/>
                <w:color w:val="auto"/>
              </w:rPr>
              <w:t>本项目排水采用雨污分流制。项目废水主要包括员工生活污水、原料清洗废水、洗瓶废水、设备清洗废水和车间地面清洗废水。卤汁配料水部分进入产品</w:t>
            </w:r>
            <w:r>
              <w:rPr>
                <w:rFonts w:hint="eastAsia"/>
                <w:color w:val="auto"/>
                <w:lang w:eastAsia="zh-CN"/>
              </w:rPr>
              <w:t>，</w:t>
            </w:r>
            <w:r>
              <w:rPr>
                <w:rFonts w:hint="eastAsia"/>
                <w:color w:val="auto"/>
              </w:rPr>
              <w:t>部分在熟制过程中蒸发，不形成废水。</w:t>
            </w:r>
          </w:p>
          <w:p w14:paraId="20A16B98">
            <w:pPr>
              <w:ind w:firstLine="480"/>
              <w:rPr>
                <w:color w:val="auto"/>
              </w:rPr>
            </w:pPr>
            <w:r>
              <w:rPr>
                <w:rFonts w:hint="eastAsia"/>
                <w:color w:val="auto"/>
              </w:rPr>
              <w:t>1）员工生活污水</w:t>
            </w:r>
          </w:p>
          <w:p w14:paraId="6BA96E4C">
            <w:pPr>
              <w:ind w:firstLine="480"/>
              <w:rPr>
                <w:color w:val="auto"/>
              </w:rPr>
            </w:pPr>
            <w:r>
              <w:rPr>
                <w:rFonts w:hint="eastAsia"/>
                <w:color w:val="auto"/>
              </w:rPr>
              <w:t>本项目员工生活用水量为1.65m</w:t>
            </w:r>
            <w:r>
              <w:rPr>
                <w:rFonts w:hint="eastAsia"/>
                <w:color w:val="auto"/>
                <w:vertAlign w:val="superscript"/>
              </w:rPr>
              <w:t>3</w:t>
            </w:r>
            <w:r>
              <w:rPr>
                <w:rFonts w:hint="eastAsia"/>
                <w:color w:val="auto"/>
              </w:rPr>
              <w:t>/d、478.5m</w:t>
            </w:r>
            <w:r>
              <w:rPr>
                <w:rFonts w:hint="eastAsia"/>
                <w:color w:val="auto"/>
                <w:vertAlign w:val="superscript"/>
              </w:rPr>
              <w:t>3</w:t>
            </w:r>
            <w:r>
              <w:rPr>
                <w:rFonts w:hint="eastAsia"/>
                <w:color w:val="auto"/>
              </w:rPr>
              <w:t>/a。</w:t>
            </w:r>
            <w:r>
              <w:rPr>
                <w:rFonts w:hint="eastAsia"/>
                <w:color w:val="auto"/>
              </w:rPr>
              <w:t>根据生态环境部《生活污染源产排污系数手册》，城镇生活污水折污系数为0.8～0.9，其中人均日生活用水量不超过150 L/（人·d）时，折污系数取0.8。</w:t>
            </w:r>
            <w:r>
              <w:rPr>
                <w:rFonts w:hint="eastAsia"/>
                <w:color w:val="auto"/>
              </w:rPr>
              <w:t>则生活污水产生量约为1.32m</w:t>
            </w:r>
            <w:r>
              <w:rPr>
                <w:rFonts w:hint="eastAsia"/>
                <w:color w:val="auto"/>
                <w:vertAlign w:val="superscript"/>
              </w:rPr>
              <w:t>3</w:t>
            </w:r>
            <w:r>
              <w:rPr>
                <w:rFonts w:hint="eastAsia"/>
                <w:color w:val="auto"/>
              </w:rPr>
              <w:t>/d、382.8m</w:t>
            </w:r>
            <w:r>
              <w:rPr>
                <w:rFonts w:hint="eastAsia"/>
                <w:color w:val="auto"/>
                <w:vertAlign w:val="superscript"/>
              </w:rPr>
              <w:t>3</w:t>
            </w:r>
            <w:r>
              <w:rPr>
                <w:rFonts w:hint="eastAsia"/>
                <w:color w:val="auto"/>
              </w:rPr>
              <w:t>/a。生活污水经化粪池预处理后排入市政污水管网，进入新兴污水处理厂进一步处理。</w:t>
            </w:r>
          </w:p>
          <w:p w14:paraId="5DF94FC5">
            <w:pPr>
              <w:ind w:firstLine="480"/>
              <w:rPr>
                <w:color w:val="auto"/>
              </w:rPr>
            </w:pPr>
            <w:r>
              <w:rPr>
                <w:rFonts w:hint="eastAsia"/>
                <w:color w:val="auto"/>
              </w:rPr>
              <w:t>2）原料清洗废水</w:t>
            </w:r>
          </w:p>
          <w:p w14:paraId="407623A4">
            <w:pPr>
              <w:wordWrap w:val="0"/>
              <w:ind w:firstLine="480"/>
              <w:jc w:val="left"/>
              <w:rPr>
                <w:color w:val="auto"/>
              </w:rPr>
            </w:pPr>
            <w:r>
              <w:rPr>
                <w:rFonts w:hint="eastAsia"/>
                <w:color w:val="auto"/>
              </w:rPr>
              <w:t>本项目辣椒、姜、蒜、葱等原料在进入后续生产工序前需进行清洗，原料清洗用水量约为0.0</w:t>
            </w:r>
            <w:r>
              <w:rPr>
                <w:rFonts w:hint="eastAsia"/>
                <w:color w:val="auto"/>
                <w:lang w:val="en-US" w:eastAsia="zh-CN"/>
              </w:rPr>
              <w:t>10</w:t>
            </w:r>
            <w:r>
              <w:rPr>
                <w:rFonts w:hint="eastAsia"/>
                <w:color w:val="auto"/>
              </w:rPr>
              <w:t>m</w:t>
            </w:r>
            <w:r>
              <w:rPr>
                <w:rFonts w:hint="eastAsia"/>
                <w:color w:val="auto"/>
                <w:vertAlign w:val="superscript"/>
              </w:rPr>
              <w:t>3</w:t>
            </w:r>
            <w:r>
              <w:rPr>
                <w:rFonts w:hint="eastAsia"/>
                <w:color w:val="auto"/>
              </w:rPr>
              <w:t>/d、2.</w:t>
            </w:r>
            <w:r>
              <w:rPr>
                <w:rFonts w:hint="eastAsia"/>
                <w:color w:val="auto"/>
                <w:lang w:val="en-US" w:eastAsia="zh-CN"/>
              </w:rPr>
              <w:t>9</w:t>
            </w:r>
            <w:r>
              <w:rPr>
                <w:rFonts w:hint="eastAsia"/>
                <w:color w:val="auto"/>
              </w:rPr>
              <w:t>m</w:t>
            </w:r>
            <w:r>
              <w:rPr>
                <w:rFonts w:hint="eastAsia"/>
                <w:color w:val="auto"/>
                <w:vertAlign w:val="superscript"/>
              </w:rPr>
              <w:t>3</w:t>
            </w:r>
            <w:r>
              <w:rPr>
                <w:rFonts w:hint="eastAsia"/>
                <w:color w:val="auto"/>
              </w:rPr>
              <w:t>/a。清洗过程中部分水分随原料带走或损耗，</w:t>
            </w:r>
            <w:r>
              <w:rPr>
                <w:rFonts w:hint="eastAsia"/>
                <w:color w:val="auto"/>
              </w:rPr>
              <w:t>参照《甘棠明善食品有限公司年产2200吨冻品类食品生产线扩建项目环境影响报告表》中辣椒、生姜、大蒜等食品原料清洗用排水情况，</w:t>
            </w:r>
            <w:r>
              <w:rPr>
                <w:rFonts w:hint="eastAsia"/>
                <w:color w:val="auto"/>
              </w:rPr>
              <w:t>废水产生系数按</w:t>
            </w:r>
            <w:r>
              <w:rPr>
                <w:rFonts w:hint="eastAsia"/>
                <w:color w:val="auto"/>
                <w:lang w:val="en-US" w:eastAsia="zh-CN"/>
              </w:rPr>
              <w:t>90</w:t>
            </w:r>
            <w:r>
              <w:rPr>
                <w:rFonts w:hint="eastAsia"/>
                <w:color w:val="auto"/>
              </w:rPr>
              <w:t>%计，</w:t>
            </w:r>
            <w:r>
              <w:rPr>
                <w:rFonts w:hint="eastAsia"/>
                <w:color w:val="auto"/>
              </w:rPr>
              <w:t>则原料清洗废水产生量约为0.00</w:t>
            </w:r>
            <w:r>
              <w:rPr>
                <w:rFonts w:hint="eastAsia"/>
                <w:color w:val="auto"/>
                <w:lang w:val="en-US" w:eastAsia="zh-CN"/>
              </w:rPr>
              <w:t>9</w:t>
            </w:r>
            <w:r>
              <w:rPr>
                <w:rFonts w:hint="eastAsia"/>
                <w:color w:val="auto"/>
              </w:rPr>
              <w:t>m</w:t>
            </w:r>
            <w:r>
              <w:rPr>
                <w:rFonts w:hint="eastAsia"/>
                <w:color w:val="auto"/>
                <w:vertAlign w:val="superscript"/>
              </w:rPr>
              <w:t>3</w:t>
            </w:r>
            <w:r>
              <w:rPr>
                <w:rFonts w:hint="eastAsia"/>
                <w:color w:val="auto"/>
              </w:rPr>
              <w:t>/d、</w:t>
            </w:r>
            <w:r>
              <w:rPr>
                <w:rFonts w:hint="eastAsia"/>
                <w:color w:val="auto"/>
                <w:lang w:val="en-US" w:eastAsia="zh-CN"/>
              </w:rPr>
              <w:t>2.61</w:t>
            </w:r>
            <w:r>
              <w:rPr>
                <w:rFonts w:hint="eastAsia"/>
                <w:color w:val="auto"/>
              </w:rPr>
              <w:t>m</w:t>
            </w:r>
            <w:r>
              <w:rPr>
                <w:rFonts w:hint="eastAsia"/>
                <w:color w:val="auto"/>
                <w:vertAlign w:val="superscript"/>
              </w:rPr>
              <w:t>3</w:t>
            </w:r>
            <w:r>
              <w:rPr>
                <w:rFonts w:hint="eastAsia"/>
                <w:color w:val="auto"/>
              </w:rPr>
              <w:t>/a。</w:t>
            </w:r>
          </w:p>
          <w:p w14:paraId="39EAE6E7">
            <w:pPr>
              <w:ind w:firstLine="480"/>
              <w:rPr>
                <w:rFonts w:hint="eastAsia"/>
                <w:color w:val="auto"/>
                <w:lang w:val="en-US" w:eastAsia="zh-CN"/>
              </w:rPr>
            </w:pPr>
            <w:r>
              <w:rPr>
                <w:rFonts w:hint="eastAsia"/>
                <w:color w:val="auto"/>
                <w:lang w:val="en-US" w:eastAsia="zh-CN"/>
              </w:rPr>
              <w:t>3）洗瓶废水</w:t>
            </w:r>
          </w:p>
          <w:p w14:paraId="67F77A6E">
            <w:pPr>
              <w:ind w:firstLine="480"/>
              <w:rPr>
                <w:rFonts w:hint="eastAsia"/>
                <w:color w:val="auto"/>
                <w:lang w:val="en-US" w:eastAsia="zh-CN"/>
              </w:rPr>
            </w:pPr>
            <w:r>
              <w:rPr>
                <w:rFonts w:hint="eastAsia"/>
                <w:color w:val="auto"/>
                <w:lang w:val="en-US" w:eastAsia="zh-CN"/>
              </w:rPr>
              <w:t>本项目洗瓶用水量约为0.053m</w:t>
            </w:r>
            <w:r>
              <w:rPr>
                <w:rFonts w:hint="eastAsia"/>
                <w:color w:val="auto"/>
                <w:vertAlign w:val="superscript"/>
                <w:lang w:val="en-US" w:eastAsia="zh-CN"/>
              </w:rPr>
              <w:t>3</w:t>
            </w:r>
            <w:r>
              <w:rPr>
                <w:rFonts w:hint="eastAsia"/>
                <w:color w:val="auto"/>
                <w:lang w:val="en-US" w:eastAsia="zh-CN"/>
              </w:rPr>
              <w:t>/d、15.291m</w:t>
            </w:r>
            <w:r>
              <w:rPr>
                <w:rFonts w:hint="eastAsia"/>
                <w:color w:val="auto"/>
                <w:vertAlign w:val="superscript"/>
                <w:lang w:val="en-US" w:eastAsia="zh-CN"/>
              </w:rPr>
              <w:t>3</w:t>
            </w:r>
            <w:r>
              <w:rPr>
                <w:rFonts w:hint="eastAsia"/>
                <w:color w:val="auto"/>
                <w:lang w:val="en-US" w:eastAsia="zh-CN"/>
              </w:rPr>
              <w:t>/a。</w:t>
            </w:r>
            <w:r>
              <w:rPr>
                <w:rFonts w:hint="eastAsia"/>
                <w:color w:val="auto"/>
                <w:lang w:val="en-US" w:eastAsia="zh-CN"/>
              </w:rPr>
              <w:t>废水产生系数类比《巨余生物技术（广州）有限公司年产压片糖果1000万片、复合蛋白饮料50万支、植物饮料50万支、固体饮料50万条生产线项目》按90%计</w:t>
            </w:r>
            <w:r>
              <w:rPr>
                <w:rFonts w:hint="eastAsia"/>
                <w:color w:val="auto"/>
                <w:lang w:val="en-US" w:eastAsia="zh-CN"/>
              </w:rPr>
              <w:t>，则洗瓶废水产生量约为0.048m</w:t>
            </w:r>
            <w:r>
              <w:rPr>
                <w:rFonts w:hint="eastAsia"/>
                <w:color w:val="auto"/>
                <w:vertAlign w:val="superscript"/>
                <w:lang w:val="en-US" w:eastAsia="zh-CN"/>
              </w:rPr>
              <w:t>3</w:t>
            </w:r>
            <w:r>
              <w:rPr>
                <w:rFonts w:hint="eastAsia"/>
                <w:color w:val="auto"/>
                <w:lang w:val="en-US" w:eastAsia="zh-CN"/>
              </w:rPr>
              <w:t>/d、13.76m</w:t>
            </w:r>
            <w:r>
              <w:rPr>
                <w:rFonts w:hint="eastAsia"/>
                <w:color w:val="auto"/>
                <w:vertAlign w:val="superscript"/>
                <w:lang w:val="en-US" w:eastAsia="zh-CN"/>
              </w:rPr>
              <w:t>3</w:t>
            </w:r>
            <w:r>
              <w:rPr>
                <w:rFonts w:hint="eastAsia"/>
                <w:color w:val="auto"/>
                <w:lang w:val="en-US" w:eastAsia="zh-CN"/>
              </w:rPr>
              <w:t>/a。</w:t>
            </w:r>
            <w:r>
              <w:rPr>
                <w:rFonts w:hint="eastAsia"/>
                <w:color w:val="auto"/>
                <w:lang w:val="en-US" w:eastAsia="zh-CN"/>
              </w:rPr>
              <w:t>洗瓶废水与其他生产废水一并收集，经厂区自建污水处理设施“隔油沉淀+一体化A/O工艺”处理后排入园区污水管网。</w:t>
            </w:r>
          </w:p>
          <w:p w14:paraId="0F4213B6">
            <w:pPr>
              <w:ind w:firstLine="480"/>
              <w:rPr>
                <w:color w:val="auto"/>
              </w:rPr>
            </w:pPr>
            <w:r>
              <w:rPr>
                <w:rFonts w:hint="eastAsia"/>
                <w:color w:val="auto"/>
                <w:lang w:val="en-US" w:eastAsia="zh-CN"/>
              </w:rPr>
              <w:t>4</w:t>
            </w:r>
            <w:r>
              <w:rPr>
                <w:rFonts w:hint="eastAsia"/>
                <w:color w:val="auto"/>
              </w:rPr>
              <w:t>）设备清洗废水</w:t>
            </w:r>
          </w:p>
          <w:p w14:paraId="74FAEB61">
            <w:pPr>
              <w:ind w:firstLine="480"/>
              <w:rPr>
                <w:color w:val="auto"/>
              </w:rPr>
            </w:pPr>
            <w:r>
              <w:rPr>
                <w:rFonts w:hint="eastAsia"/>
                <w:color w:val="auto"/>
              </w:rPr>
              <w:t>本项目设备清洗用水量约为1.6m</w:t>
            </w:r>
            <w:r>
              <w:rPr>
                <w:rFonts w:hint="eastAsia"/>
                <w:color w:val="auto"/>
                <w:vertAlign w:val="superscript"/>
                <w:lang w:val="en-US" w:eastAsia="zh-CN"/>
              </w:rPr>
              <w:t>3</w:t>
            </w:r>
            <w:r>
              <w:rPr>
                <w:rFonts w:hint="eastAsia"/>
                <w:color w:val="auto"/>
              </w:rPr>
              <w:t>/d、464m</w:t>
            </w:r>
            <w:r>
              <w:rPr>
                <w:rFonts w:hint="eastAsia"/>
                <w:color w:val="auto"/>
                <w:vertAlign w:val="superscript"/>
                <w:lang w:val="en-US" w:eastAsia="zh-CN"/>
              </w:rPr>
              <w:t>3</w:t>
            </w:r>
            <w:r>
              <w:rPr>
                <w:rFonts w:hint="eastAsia"/>
                <w:color w:val="auto"/>
              </w:rPr>
              <w:t>/a。废水产生系数</w:t>
            </w:r>
            <w:r>
              <w:rPr>
                <w:rFonts w:hint="eastAsia"/>
                <w:color w:val="auto"/>
                <w:lang w:val="en-US" w:eastAsia="zh-CN"/>
              </w:rPr>
              <w:t>类比《巨余生物技术（广州）有限公司年产压片糖果1000万片、复合蛋白饮料50万支、植物饮料50万支、固体饮料50万条生产线项目》</w:t>
            </w:r>
            <w:r>
              <w:rPr>
                <w:rFonts w:hint="eastAsia"/>
                <w:color w:val="auto"/>
              </w:rPr>
              <w:t>按90%计，则设备清洗废水产生量约为1.44m</w:t>
            </w:r>
            <w:r>
              <w:rPr>
                <w:rFonts w:hint="eastAsia"/>
                <w:color w:val="auto"/>
                <w:vertAlign w:val="superscript"/>
                <w:lang w:val="en-US" w:eastAsia="zh-CN"/>
              </w:rPr>
              <w:t>3</w:t>
            </w:r>
            <w:r>
              <w:rPr>
                <w:rFonts w:hint="eastAsia"/>
                <w:color w:val="auto"/>
              </w:rPr>
              <w:t>/d、417.6m</w:t>
            </w:r>
            <w:r>
              <w:rPr>
                <w:rFonts w:hint="eastAsia"/>
                <w:color w:val="auto"/>
                <w:vertAlign w:val="superscript"/>
                <w:lang w:val="en-US" w:eastAsia="zh-CN"/>
              </w:rPr>
              <w:t>3</w:t>
            </w:r>
            <w:r>
              <w:rPr>
                <w:rFonts w:hint="eastAsia"/>
                <w:color w:val="auto"/>
              </w:rPr>
              <w:t>/a。</w:t>
            </w:r>
          </w:p>
          <w:p w14:paraId="5924E644">
            <w:pPr>
              <w:ind w:firstLine="480"/>
              <w:rPr>
                <w:color w:val="auto"/>
              </w:rPr>
            </w:pPr>
            <w:r>
              <w:rPr>
                <w:rFonts w:hint="eastAsia"/>
                <w:color w:val="auto"/>
                <w:lang w:val="en-US" w:eastAsia="zh-CN"/>
              </w:rPr>
              <w:t>5</w:t>
            </w:r>
            <w:r>
              <w:rPr>
                <w:rFonts w:hint="eastAsia"/>
                <w:color w:val="auto"/>
              </w:rPr>
              <w:t>）车间清洗废水</w:t>
            </w:r>
          </w:p>
          <w:p w14:paraId="77A2AC9F">
            <w:pPr>
              <w:ind w:firstLine="480"/>
              <w:rPr>
                <w:color w:val="auto"/>
              </w:rPr>
            </w:pPr>
            <w:r>
              <w:rPr>
                <w:color w:val="auto"/>
              </w:rPr>
              <w:t>车间清洗用水量约为2.0m</w:t>
            </w:r>
            <w:r>
              <w:rPr>
                <w:rFonts w:hint="eastAsia"/>
                <w:color w:val="auto"/>
                <w:vertAlign w:val="superscript"/>
              </w:rPr>
              <w:t>3</w:t>
            </w:r>
            <w:r>
              <w:rPr>
                <w:color w:val="auto"/>
              </w:rPr>
              <w:t>/d、580m</w:t>
            </w:r>
            <w:r>
              <w:rPr>
                <w:rFonts w:hint="eastAsia"/>
                <w:color w:val="auto"/>
                <w:vertAlign w:val="superscript"/>
              </w:rPr>
              <w:t>3</w:t>
            </w:r>
            <w:r>
              <w:rPr>
                <w:color w:val="auto"/>
              </w:rPr>
              <w:t>/a。</w:t>
            </w:r>
            <w:r>
              <w:rPr>
                <w:color w:val="auto"/>
              </w:rPr>
              <w:t>废水产生系数</w:t>
            </w:r>
            <w:r>
              <w:rPr>
                <w:rFonts w:hint="eastAsia"/>
                <w:color w:val="auto"/>
                <w:lang w:val="en-US" w:eastAsia="zh-CN"/>
              </w:rPr>
              <w:t>参照《甘棠明善食品有限公司年产2200吨冻品类食品生产线扩建项目环境影响报告表》按</w:t>
            </w:r>
            <w:r>
              <w:rPr>
                <w:color w:val="auto"/>
              </w:rPr>
              <w:t>90%计，则车间清洗废水产生量约为1.8m</w:t>
            </w:r>
            <w:r>
              <w:rPr>
                <w:rFonts w:hint="eastAsia"/>
                <w:color w:val="auto"/>
                <w:vertAlign w:val="superscript"/>
              </w:rPr>
              <w:t>3</w:t>
            </w:r>
            <w:r>
              <w:rPr>
                <w:color w:val="auto"/>
              </w:rPr>
              <w:t>/d、522m</w:t>
            </w:r>
            <w:r>
              <w:rPr>
                <w:rFonts w:hint="eastAsia"/>
                <w:color w:val="auto"/>
                <w:vertAlign w:val="superscript"/>
              </w:rPr>
              <w:t>3</w:t>
            </w:r>
            <w:r>
              <w:rPr>
                <w:color w:val="auto"/>
              </w:rPr>
              <w:t>/a。</w:t>
            </w:r>
          </w:p>
          <w:p w14:paraId="36C53B82">
            <w:pPr>
              <w:ind w:firstLine="480"/>
              <w:rPr>
                <w:color w:val="auto"/>
              </w:rPr>
            </w:pPr>
            <w:r>
              <w:rPr>
                <w:rFonts w:hint="eastAsia"/>
                <w:color w:val="auto"/>
              </w:rPr>
              <w:t>项目生产废水</w:t>
            </w:r>
            <w:r>
              <w:rPr>
                <w:rFonts w:hint="eastAsia"/>
                <w:color w:val="auto"/>
                <w:lang w:eastAsia="zh-CN"/>
              </w:rPr>
              <w:t>经厂区自建污水处理设施“隔油沉淀+一体化A/O工艺”</w:t>
            </w:r>
            <w:r>
              <w:rPr>
                <w:rFonts w:hint="eastAsia"/>
                <w:color w:val="auto"/>
              </w:rPr>
              <w:t>处理，经处理后达到《污水综合排放标准》（GB8978-1996）中三级标准，同时满足新兴污水处理厂进水水质标准后排入市政污水管网，最终经新兴污水处理厂处理达到《城镇污水处理厂污染物排放标准》（GB18918-2002）一级B标准后排入响水河。</w:t>
            </w:r>
          </w:p>
          <w:p w14:paraId="4788CBDC">
            <w:pPr>
              <w:ind w:firstLine="480"/>
              <w:rPr>
                <w:color w:val="auto"/>
              </w:rPr>
            </w:pPr>
            <w:r>
              <w:rPr>
                <w:rFonts w:hint="eastAsia"/>
                <w:color w:val="auto"/>
                <w:lang w:val="en-US" w:eastAsia="zh-CN"/>
              </w:rPr>
              <w:t>6</w:t>
            </w:r>
            <w:r>
              <w:rPr>
                <w:rFonts w:hint="eastAsia"/>
                <w:color w:val="auto"/>
              </w:rPr>
              <w:t>）本项目用水量、排水量统计见下表。</w:t>
            </w:r>
          </w:p>
          <w:p w14:paraId="66018465">
            <w:pPr>
              <w:pStyle w:val="35"/>
              <w:rPr>
                <w:rFonts w:hint="default"/>
                <w:color w:val="auto"/>
              </w:rPr>
            </w:pPr>
            <w:r>
              <w:rPr>
                <w:color w:val="auto"/>
              </w:rPr>
              <w:t>表2-6 本项目给排水情况汇总表  单位：m</w:t>
            </w:r>
            <w:r>
              <w:rPr>
                <w:color w:val="auto"/>
                <w:vertAlign w:val="superscript"/>
              </w:rPr>
              <w:t>3</w:t>
            </w:r>
            <w:r>
              <w:rPr>
                <w:color w:val="auto"/>
              </w:rPr>
              <w:t>/a</w:t>
            </w:r>
          </w:p>
          <w:tbl>
            <w:tblPr>
              <w:tblStyle w:val="17"/>
              <w:tblW w:w="79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668"/>
              <w:gridCol w:w="1075"/>
              <w:gridCol w:w="1150"/>
              <w:gridCol w:w="3375"/>
            </w:tblGrid>
            <w:tr w14:paraId="2C87C1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03" w:type="dxa"/>
                  <w:tcBorders>
                    <w:tl2br w:val="nil"/>
                    <w:tr2bl w:val="nil"/>
                  </w:tcBorders>
                  <w:vAlign w:val="center"/>
                </w:tcPr>
                <w:p w14:paraId="63410FD9">
                  <w:pPr>
                    <w:pStyle w:val="33"/>
                    <w:rPr>
                      <w:color w:val="auto"/>
                    </w:rPr>
                  </w:pPr>
                  <w:r>
                    <w:rPr>
                      <w:rFonts w:hint="eastAsia"/>
                      <w:color w:val="auto"/>
                    </w:rPr>
                    <w:t>序号</w:t>
                  </w:r>
                </w:p>
              </w:tc>
              <w:tc>
                <w:tcPr>
                  <w:tcW w:w="1668" w:type="dxa"/>
                  <w:tcBorders>
                    <w:tl2br w:val="nil"/>
                    <w:tr2bl w:val="nil"/>
                  </w:tcBorders>
                  <w:vAlign w:val="center"/>
                </w:tcPr>
                <w:p w14:paraId="5209ED05">
                  <w:pPr>
                    <w:pStyle w:val="33"/>
                    <w:rPr>
                      <w:color w:val="auto"/>
                    </w:rPr>
                  </w:pPr>
                  <w:r>
                    <w:rPr>
                      <w:rFonts w:hint="eastAsia"/>
                      <w:color w:val="auto"/>
                    </w:rPr>
                    <w:t>用水类别</w:t>
                  </w:r>
                </w:p>
              </w:tc>
              <w:tc>
                <w:tcPr>
                  <w:tcW w:w="1075" w:type="dxa"/>
                  <w:tcBorders>
                    <w:tl2br w:val="nil"/>
                    <w:tr2bl w:val="nil"/>
                  </w:tcBorders>
                  <w:vAlign w:val="center"/>
                </w:tcPr>
                <w:p w14:paraId="61D6B5F3">
                  <w:pPr>
                    <w:pStyle w:val="33"/>
                    <w:rPr>
                      <w:color w:val="auto"/>
                    </w:rPr>
                  </w:pPr>
                  <w:r>
                    <w:rPr>
                      <w:rFonts w:hint="eastAsia"/>
                      <w:color w:val="auto"/>
                    </w:rPr>
                    <w:t>用水量</w:t>
                  </w:r>
                </w:p>
              </w:tc>
              <w:tc>
                <w:tcPr>
                  <w:tcW w:w="1150" w:type="dxa"/>
                  <w:tcBorders>
                    <w:tl2br w:val="nil"/>
                    <w:tr2bl w:val="nil"/>
                  </w:tcBorders>
                  <w:vAlign w:val="center"/>
                </w:tcPr>
                <w:p w14:paraId="050F2304">
                  <w:pPr>
                    <w:pStyle w:val="33"/>
                    <w:rPr>
                      <w:color w:val="auto"/>
                    </w:rPr>
                  </w:pPr>
                  <w:r>
                    <w:rPr>
                      <w:rFonts w:hint="eastAsia"/>
                      <w:color w:val="auto"/>
                    </w:rPr>
                    <w:t>污水量</w:t>
                  </w:r>
                </w:p>
              </w:tc>
              <w:tc>
                <w:tcPr>
                  <w:tcW w:w="3375" w:type="dxa"/>
                  <w:tcBorders>
                    <w:tl2br w:val="nil"/>
                    <w:tr2bl w:val="nil"/>
                  </w:tcBorders>
                  <w:vAlign w:val="center"/>
                </w:tcPr>
                <w:p w14:paraId="30BF0DF8">
                  <w:pPr>
                    <w:pStyle w:val="33"/>
                    <w:rPr>
                      <w:color w:val="auto"/>
                    </w:rPr>
                  </w:pPr>
                  <w:r>
                    <w:rPr>
                      <w:rFonts w:hint="eastAsia"/>
                      <w:color w:val="auto"/>
                    </w:rPr>
                    <w:t>去向</w:t>
                  </w:r>
                </w:p>
              </w:tc>
            </w:tr>
            <w:tr w14:paraId="319F16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703" w:type="dxa"/>
                  <w:tcBorders>
                    <w:tl2br w:val="nil"/>
                    <w:tr2bl w:val="nil"/>
                  </w:tcBorders>
                  <w:vAlign w:val="center"/>
                </w:tcPr>
                <w:p w14:paraId="6F22C616">
                  <w:pPr>
                    <w:pStyle w:val="33"/>
                    <w:rPr>
                      <w:color w:val="auto"/>
                    </w:rPr>
                  </w:pPr>
                  <w:r>
                    <w:rPr>
                      <w:rFonts w:hint="eastAsia"/>
                      <w:color w:val="auto"/>
                    </w:rPr>
                    <w:t>1</w:t>
                  </w:r>
                </w:p>
              </w:tc>
              <w:tc>
                <w:tcPr>
                  <w:tcW w:w="1668" w:type="dxa"/>
                  <w:tcBorders>
                    <w:tl2br w:val="nil"/>
                    <w:tr2bl w:val="nil"/>
                  </w:tcBorders>
                  <w:vAlign w:val="center"/>
                </w:tcPr>
                <w:p w14:paraId="24163A6C">
                  <w:pPr>
                    <w:pStyle w:val="33"/>
                    <w:rPr>
                      <w:color w:val="auto"/>
                    </w:rPr>
                  </w:pPr>
                  <w:r>
                    <w:rPr>
                      <w:rFonts w:hint="eastAsia"/>
                      <w:color w:val="auto"/>
                    </w:rPr>
                    <w:t>生活用水</w:t>
                  </w:r>
                </w:p>
              </w:tc>
              <w:tc>
                <w:tcPr>
                  <w:tcW w:w="1075" w:type="dxa"/>
                  <w:tcBorders>
                    <w:tl2br w:val="nil"/>
                    <w:tr2bl w:val="nil"/>
                  </w:tcBorders>
                  <w:vAlign w:val="center"/>
                </w:tcPr>
                <w:p w14:paraId="03CC019A">
                  <w:pPr>
                    <w:pStyle w:val="33"/>
                    <w:rPr>
                      <w:color w:val="auto"/>
                    </w:rPr>
                  </w:pPr>
                  <w:r>
                    <w:rPr>
                      <w:rFonts w:hint="eastAsia"/>
                      <w:color w:val="auto"/>
                    </w:rPr>
                    <w:t>478.5</w:t>
                  </w:r>
                </w:p>
              </w:tc>
              <w:tc>
                <w:tcPr>
                  <w:tcW w:w="1150" w:type="dxa"/>
                  <w:tcBorders>
                    <w:tl2br w:val="nil"/>
                    <w:tr2bl w:val="nil"/>
                  </w:tcBorders>
                  <w:vAlign w:val="center"/>
                </w:tcPr>
                <w:p w14:paraId="4466258C">
                  <w:pPr>
                    <w:pStyle w:val="33"/>
                    <w:rPr>
                      <w:color w:val="auto"/>
                    </w:rPr>
                  </w:pPr>
                  <w:r>
                    <w:rPr>
                      <w:rFonts w:hint="eastAsia"/>
                      <w:color w:val="auto"/>
                    </w:rPr>
                    <w:t>382.8</w:t>
                  </w:r>
                </w:p>
              </w:tc>
              <w:tc>
                <w:tcPr>
                  <w:tcW w:w="3375" w:type="dxa"/>
                  <w:tcBorders>
                    <w:tl2br w:val="nil"/>
                    <w:tr2bl w:val="nil"/>
                  </w:tcBorders>
                  <w:vAlign w:val="center"/>
                </w:tcPr>
                <w:p w14:paraId="1DBB32F8">
                  <w:pPr>
                    <w:pStyle w:val="33"/>
                    <w:rPr>
                      <w:color w:val="auto"/>
                    </w:rPr>
                  </w:pPr>
                  <w:r>
                    <w:rPr>
                      <w:color w:val="auto"/>
                    </w:rPr>
                    <w:t>经化粪池处理达标后由市政污水管网输送至新兴污水处理厂处理后排入</w:t>
                  </w:r>
                  <w:r>
                    <w:rPr>
                      <w:rFonts w:hint="eastAsia"/>
                      <w:color w:val="auto"/>
                    </w:rPr>
                    <w:t>响水河</w:t>
                  </w:r>
                  <w:r>
                    <w:rPr>
                      <w:color w:val="auto"/>
                    </w:rPr>
                    <w:t>。</w:t>
                  </w:r>
                </w:p>
              </w:tc>
            </w:tr>
            <w:tr w14:paraId="4C0043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tcBorders>
                    <w:tl2br w:val="nil"/>
                    <w:tr2bl w:val="nil"/>
                  </w:tcBorders>
                  <w:vAlign w:val="center"/>
                </w:tcPr>
                <w:p w14:paraId="3F1D04C0">
                  <w:pPr>
                    <w:pStyle w:val="33"/>
                    <w:rPr>
                      <w:color w:val="auto"/>
                    </w:rPr>
                  </w:pPr>
                  <w:r>
                    <w:rPr>
                      <w:rFonts w:hint="eastAsia"/>
                      <w:color w:val="auto"/>
                    </w:rPr>
                    <w:t>2</w:t>
                  </w:r>
                </w:p>
              </w:tc>
              <w:tc>
                <w:tcPr>
                  <w:tcW w:w="1668" w:type="dxa"/>
                  <w:tcBorders>
                    <w:tl2br w:val="nil"/>
                    <w:tr2bl w:val="nil"/>
                  </w:tcBorders>
                  <w:vAlign w:val="center"/>
                </w:tcPr>
                <w:p w14:paraId="574C1D67">
                  <w:pPr>
                    <w:pStyle w:val="33"/>
                    <w:rPr>
                      <w:color w:val="auto"/>
                    </w:rPr>
                  </w:pPr>
                  <w:r>
                    <w:rPr>
                      <w:rFonts w:hint="eastAsia"/>
                      <w:color w:val="auto"/>
                    </w:rPr>
                    <w:t>原料清洗用水</w:t>
                  </w:r>
                </w:p>
              </w:tc>
              <w:tc>
                <w:tcPr>
                  <w:tcW w:w="1075" w:type="dxa"/>
                  <w:tcBorders>
                    <w:tl2br w:val="nil"/>
                    <w:tr2bl w:val="nil"/>
                  </w:tcBorders>
                  <w:vAlign w:val="center"/>
                </w:tcPr>
                <w:p w14:paraId="1E10E897">
                  <w:pPr>
                    <w:pStyle w:val="33"/>
                    <w:rPr>
                      <w:rFonts w:hint="eastAsia" w:eastAsia="宋体"/>
                      <w:color w:val="auto"/>
                      <w:lang w:eastAsia="zh-CN"/>
                    </w:rPr>
                  </w:pPr>
                  <w:r>
                    <w:rPr>
                      <w:rFonts w:hint="eastAsia"/>
                      <w:color w:val="auto"/>
                    </w:rPr>
                    <w:t>2.</w:t>
                  </w:r>
                  <w:r>
                    <w:rPr>
                      <w:rFonts w:hint="eastAsia"/>
                      <w:color w:val="auto"/>
                      <w:lang w:val="en-US" w:eastAsia="zh-CN"/>
                    </w:rPr>
                    <w:t>9</w:t>
                  </w:r>
                </w:p>
              </w:tc>
              <w:tc>
                <w:tcPr>
                  <w:tcW w:w="1150" w:type="dxa"/>
                  <w:tcBorders>
                    <w:tl2br w:val="nil"/>
                    <w:tr2bl w:val="nil"/>
                  </w:tcBorders>
                  <w:vAlign w:val="center"/>
                </w:tcPr>
                <w:p w14:paraId="09B7991D">
                  <w:pPr>
                    <w:pStyle w:val="33"/>
                    <w:rPr>
                      <w:rFonts w:hint="default" w:eastAsia="宋体"/>
                      <w:color w:val="auto"/>
                      <w:lang w:val="en-US" w:eastAsia="zh-CN"/>
                    </w:rPr>
                  </w:pPr>
                  <w:r>
                    <w:rPr>
                      <w:rFonts w:hint="eastAsia"/>
                      <w:color w:val="auto"/>
                    </w:rPr>
                    <w:t>2.</w:t>
                  </w:r>
                  <w:r>
                    <w:rPr>
                      <w:rFonts w:hint="eastAsia"/>
                      <w:color w:val="auto"/>
                      <w:lang w:val="en-US" w:eastAsia="zh-CN"/>
                    </w:rPr>
                    <w:t>610</w:t>
                  </w:r>
                </w:p>
              </w:tc>
              <w:tc>
                <w:tcPr>
                  <w:tcW w:w="3375" w:type="dxa"/>
                  <w:vMerge w:val="restart"/>
                  <w:tcBorders>
                    <w:tl2br w:val="nil"/>
                    <w:tr2bl w:val="nil"/>
                  </w:tcBorders>
                  <w:vAlign w:val="center"/>
                </w:tcPr>
                <w:p w14:paraId="6379A01C">
                  <w:pPr>
                    <w:pStyle w:val="33"/>
                    <w:rPr>
                      <w:color w:val="auto"/>
                    </w:rPr>
                  </w:pPr>
                  <w:r>
                    <w:rPr>
                      <w:color w:val="auto"/>
                    </w:rPr>
                    <w:t>生产废水统一收集，</w:t>
                  </w:r>
                  <w:r>
                    <w:rPr>
                      <w:rFonts w:hint="eastAsia"/>
                      <w:color w:val="auto"/>
                      <w:lang w:eastAsia="zh-CN"/>
                    </w:rPr>
                    <w:t>经厂区自建污水处理设施“隔油沉淀+一体化A/O工艺”</w:t>
                  </w:r>
                  <w:r>
                    <w:rPr>
                      <w:color w:val="auto"/>
                    </w:rPr>
                    <w:t>处理后排入市政污水管网，进入新兴污水处理厂处理达标后排入响水河</w:t>
                  </w:r>
                  <w:r>
                    <w:rPr>
                      <w:rFonts w:hint="eastAsia"/>
                      <w:color w:val="auto"/>
                    </w:rPr>
                    <w:t>。</w:t>
                  </w:r>
                </w:p>
              </w:tc>
            </w:tr>
            <w:tr w14:paraId="269135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tcBorders>
                    <w:tl2br w:val="nil"/>
                    <w:tr2bl w:val="nil"/>
                  </w:tcBorders>
                  <w:shd w:val="clear" w:color="auto" w:fill="auto"/>
                  <w:vAlign w:val="center"/>
                </w:tcPr>
                <w:p w14:paraId="1D77E542">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rPr>
                    <w:t>3</w:t>
                  </w:r>
                </w:p>
              </w:tc>
              <w:tc>
                <w:tcPr>
                  <w:tcW w:w="1668" w:type="dxa"/>
                  <w:tcBorders>
                    <w:tl2br w:val="nil"/>
                    <w:tr2bl w:val="nil"/>
                  </w:tcBorders>
                  <w:vAlign w:val="center"/>
                </w:tcPr>
                <w:p w14:paraId="72A4F438">
                  <w:pPr>
                    <w:pStyle w:val="33"/>
                    <w:rPr>
                      <w:rFonts w:hint="eastAsia"/>
                      <w:color w:val="auto"/>
                    </w:rPr>
                  </w:pPr>
                  <w:r>
                    <w:rPr>
                      <w:rFonts w:hint="eastAsia"/>
                      <w:color w:val="auto"/>
                      <w:lang w:val="en-US" w:eastAsia="zh-CN"/>
                    </w:rPr>
                    <w:t>卤汁配料用水</w:t>
                  </w:r>
                </w:p>
              </w:tc>
              <w:tc>
                <w:tcPr>
                  <w:tcW w:w="1075" w:type="dxa"/>
                  <w:tcBorders>
                    <w:tl2br w:val="nil"/>
                    <w:tr2bl w:val="nil"/>
                  </w:tcBorders>
                  <w:vAlign w:val="center"/>
                </w:tcPr>
                <w:p w14:paraId="1DD858D8">
                  <w:pPr>
                    <w:pStyle w:val="33"/>
                    <w:rPr>
                      <w:rFonts w:hint="default" w:eastAsia="宋体"/>
                      <w:color w:val="auto"/>
                      <w:lang w:val="en-US" w:eastAsia="zh-CN"/>
                    </w:rPr>
                  </w:pPr>
                  <w:r>
                    <w:rPr>
                      <w:rFonts w:hint="eastAsia"/>
                      <w:color w:val="auto"/>
                      <w:lang w:val="en-US" w:eastAsia="zh-CN"/>
                    </w:rPr>
                    <w:t>1.027</w:t>
                  </w:r>
                </w:p>
              </w:tc>
              <w:tc>
                <w:tcPr>
                  <w:tcW w:w="1150" w:type="dxa"/>
                  <w:tcBorders>
                    <w:tl2br w:val="nil"/>
                    <w:tr2bl w:val="nil"/>
                  </w:tcBorders>
                  <w:vAlign w:val="center"/>
                </w:tcPr>
                <w:p w14:paraId="75872C3A">
                  <w:pPr>
                    <w:pStyle w:val="33"/>
                    <w:rPr>
                      <w:rFonts w:hint="eastAsia" w:eastAsia="宋体"/>
                      <w:color w:val="auto"/>
                      <w:lang w:val="en-US" w:eastAsia="zh-CN"/>
                    </w:rPr>
                  </w:pPr>
                  <w:r>
                    <w:rPr>
                      <w:rFonts w:hint="eastAsia"/>
                      <w:color w:val="auto"/>
                      <w:lang w:val="en-US" w:eastAsia="zh-CN"/>
                    </w:rPr>
                    <w:t>/</w:t>
                  </w:r>
                </w:p>
              </w:tc>
              <w:tc>
                <w:tcPr>
                  <w:tcW w:w="3375" w:type="dxa"/>
                  <w:vMerge w:val="continue"/>
                  <w:tcBorders>
                    <w:tl2br w:val="nil"/>
                    <w:tr2bl w:val="nil"/>
                  </w:tcBorders>
                  <w:vAlign w:val="center"/>
                </w:tcPr>
                <w:p w14:paraId="10F26EE0">
                  <w:pPr>
                    <w:pStyle w:val="33"/>
                    <w:rPr>
                      <w:color w:val="auto"/>
                    </w:rPr>
                  </w:pPr>
                </w:p>
              </w:tc>
            </w:tr>
            <w:tr w14:paraId="37E08B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tcBorders>
                    <w:tl2br w:val="nil"/>
                    <w:tr2bl w:val="nil"/>
                  </w:tcBorders>
                  <w:shd w:val="clear" w:color="auto" w:fill="auto"/>
                  <w:vAlign w:val="center"/>
                </w:tcPr>
                <w:p w14:paraId="16676EF6">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rPr>
                    <w:t>4</w:t>
                  </w:r>
                </w:p>
              </w:tc>
              <w:tc>
                <w:tcPr>
                  <w:tcW w:w="1668" w:type="dxa"/>
                  <w:tcBorders>
                    <w:tl2br w:val="nil"/>
                    <w:tr2bl w:val="nil"/>
                  </w:tcBorders>
                  <w:vAlign w:val="center"/>
                </w:tcPr>
                <w:p w14:paraId="598B0355">
                  <w:pPr>
                    <w:pStyle w:val="33"/>
                    <w:rPr>
                      <w:rFonts w:hint="eastAsia"/>
                      <w:color w:val="auto"/>
                    </w:rPr>
                  </w:pPr>
                  <w:r>
                    <w:rPr>
                      <w:rFonts w:hint="eastAsia"/>
                      <w:color w:val="auto"/>
                      <w:lang w:val="en-US" w:eastAsia="zh-CN"/>
                    </w:rPr>
                    <w:t>洗瓶用水</w:t>
                  </w:r>
                </w:p>
              </w:tc>
              <w:tc>
                <w:tcPr>
                  <w:tcW w:w="1075" w:type="dxa"/>
                  <w:tcBorders>
                    <w:tl2br w:val="nil"/>
                    <w:tr2bl w:val="nil"/>
                  </w:tcBorders>
                  <w:vAlign w:val="center"/>
                </w:tcPr>
                <w:p w14:paraId="61DAF49B">
                  <w:pPr>
                    <w:pStyle w:val="33"/>
                    <w:rPr>
                      <w:rFonts w:hint="default" w:eastAsia="宋体"/>
                      <w:color w:val="auto"/>
                      <w:lang w:val="en-US" w:eastAsia="zh-CN"/>
                    </w:rPr>
                  </w:pPr>
                  <w:r>
                    <w:rPr>
                      <w:rFonts w:hint="eastAsia"/>
                      <w:color w:val="auto"/>
                      <w:lang w:val="en-US" w:eastAsia="zh-CN"/>
                    </w:rPr>
                    <w:t>15.291</w:t>
                  </w:r>
                </w:p>
              </w:tc>
              <w:tc>
                <w:tcPr>
                  <w:tcW w:w="1150" w:type="dxa"/>
                  <w:tcBorders>
                    <w:tl2br w:val="nil"/>
                    <w:tr2bl w:val="nil"/>
                  </w:tcBorders>
                  <w:vAlign w:val="center"/>
                </w:tcPr>
                <w:p w14:paraId="14BDB756">
                  <w:pPr>
                    <w:pStyle w:val="33"/>
                    <w:rPr>
                      <w:rFonts w:hint="default" w:eastAsia="宋体"/>
                      <w:color w:val="auto"/>
                      <w:lang w:val="en-US" w:eastAsia="zh-CN"/>
                    </w:rPr>
                  </w:pPr>
                  <w:r>
                    <w:rPr>
                      <w:rFonts w:hint="eastAsia"/>
                      <w:color w:val="auto"/>
                      <w:lang w:val="en-US" w:eastAsia="zh-CN"/>
                    </w:rPr>
                    <w:t>13.762</w:t>
                  </w:r>
                </w:p>
              </w:tc>
              <w:tc>
                <w:tcPr>
                  <w:tcW w:w="3375" w:type="dxa"/>
                  <w:vMerge w:val="continue"/>
                  <w:tcBorders>
                    <w:tl2br w:val="nil"/>
                    <w:tr2bl w:val="nil"/>
                  </w:tcBorders>
                  <w:vAlign w:val="center"/>
                </w:tcPr>
                <w:p w14:paraId="4C328E80">
                  <w:pPr>
                    <w:pStyle w:val="33"/>
                    <w:rPr>
                      <w:color w:val="auto"/>
                    </w:rPr>
                  </w:pPr>
                </w:p>
              </w:tc>
            </w:tr>
            <w:tr w14:paraId="71A49E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tcBorders>
                    <w:tl2br w:val="nil"/>
                    <w:tr2bl w:val="nil"/>
                  </w:tcBorders>
                  <w:vAlign w:val="center"/>
                </w:tcPr>
                <w:p w14:paraId="4123388B">
                  <w:pPr>
                    <w:pStyle w:val="33"/>
                    <w:rPr>
                      <w:rFonts w:hint="eastAsia" w:eastAsia="宋体"/>
                      <w:color w:val="auto"/>
                      <w:lang w:val="en-US" w:eastAsia="zh-CN"/>
                    </w:rPr>
                  </w:pPr>
                  <w:r>
                    <w:rPr>
                      <w:rFonts w:hint="eastAsia"/>
                      <w:color w:val="auto"/>
                      <w:lang w:val="en-US" w:eastAsia="zh-CN"/>
                    </w:rPr>
                    <w:t>5</w:t>
                  </w:r>
                </w:p>
              </w:tc>
              <w:tc>
                <w:tcPr>
                  <w:tcW w:w="1668" w:type="dxa"/>
                  <w:tcBorders>
                    <w:tl2br w:val="nil"/>
                    <w:tr2bl w:val="nil"/>
                  </w:tcBorders>
                  <w:vAlign w:val="center"/>
                </w:tcPr>
                <w:p w14:paraId="7F3CF639">
                  <w:pPr>
                    <w:pStyle w:val="33"/>
                    <w:rPr>
                      <w:color w:val="auto"/>
                    </w:rPr>
                  </w:pPr>
                  <w:r>
                    <w:rPr>
                      <w:color w:val="auto"/>
                    </w:rPr>
                    <w:t>设备清洗用水</w:t>
                  </w:r>
                </w:p>
              </w:tc>
              <w:tc>
                <w:tcPr>
                  <w:tcW w:w="1075" w:type="dxa"/>
                  <w:tcBorders>
                    <w:tl2br w:val="nil"/>
                    <w:tr2bl w:val="nil"/>
                  </w:tcBorders>
                  <w:vAlign w:val="center"/>
                </w:tcPr>
                <w:p w14:paraId="60BEDEB8">
                  <w:pPr>
                    <w:pStyle w:val="33"/>
                    <w:rPr>
                      <w:rFonts w:hint="default" w:eastAsia="宋体"/>
                      <w:color w:val="auto"/>
                      <w:lang w:val="en-US" w:eastAsia="zh-CN"/>
                    </w:rPr>
                  </w:pPr>
                  <w:r>
                    <w:rPr>
                      <w:rFonts w:hint="eastAsia"/>
                      <w:color w:val="auto"/>
                      <w:lang w:val="en-US" w:eastAsia="zh-CN"/>
                    </w:rPr>
                    <w:t>464</w:t>
                  </w:r>
                </w:p>
              </w:tc>
              <w:tc>
                <w:tcPr>
                  <w:tcW w:w="1150" w:type="dxa"/>
                  <w:tcBorders>
                    <w:tl2br w:val="nil"/>
                    <w:tr2bl w:val="nil"/>
                  </w:tcBorders>
                  <w:vAlign w:val="center"/>
                </w:tcPr>
                <w:p w14:paraId="157315FC">
                  <w:pPr>
                    <w:pStyle w:val="33"/>
                    <w:rPr>
                      <w:rFonts w:hint="default" w:eastAsia="宋体"/>
                      <w:color w:val="auto"/>
                      <w:lang w:val="en-US" w:eastAsia="zh-CN"/>
                    </w:rPr>
                  </w:pPr>
                  <w:r>
                    <w:rPr>
                      <w:rFonts w:hint="eastAsia"/>
                      <w:color w:val="auto"/>
                      <w:lang w:val="en-US" w:eastAsia="zh-CN"/>
                    </w:rPr>
                    <w:t>417.6</w:t>
                  </w:r>
                </w:p>
              </w:tc>
              <w:tc>
                <w:tcPr>
                  <w:tcW w:w="3375" w:type="dxa"/>
                  <w:vMerge w:val="continue"/>
                  <w:tcBorders>
                    <w:tl2br w:val="nil"/>
                    <w:tr2bl w:val="nil"/>
                  </w:tcBorders>
                  <w:vAlign w:val="center"/>
                </w:tcPr>
                <w:p w14:paraId="7B1F0F8D">
                  <w:pPr>
                    <w:pStyle w:val="33"/>
                    <w:rPr>
                      <w:color w:val="auto"/>
                    </w:rPr>
                  </w:pPr>
                </w:p>
              </w:tc>
            </w:tr>
            <w:tr w14:paraId="3202C5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03" w:type="dxa"/>
                  <w:tcBorders>
                    <w:tl2br w:val="nil"/>
                    <w:tr2bl w:val="nil"/>
                  </w:tcBorders>
                  <w:vAlign w:val="center"/>
                </w:tcPr>
                <w:p w14:paraId="53601A04">
                  <w:pPr>
                    <w:pStyle w:val="33"/>
                    <w:rPr>
                      <w:rFonts w:hint="eastAsia" w:eastAsia="宋体"/>
                      <w:color w:val="auto"/>
                      <w:lang w:val="en-US" w:eastAsia="zh-CN"/>
                    </w:rPr>
                  </w:pPr>
                  <w:r>
                    <w:rPr>
                      <w:rFonts w:hint="eastAsia"/>
                      <w:color w:val="auto"/>
                      <w:lang w:val="en-US" w:eastAsia="zh-CN"/>
                    </w:rPr>
                    <w:t>6</w:t>
                  </w:r>
                </w:p>
              </w:tc>
              <w:tc>
                <w:tcPr>
                  <w:tcW w:w="1668" w:type="dxa"/>
                  <w:tcBorders>
                    <w:tl2br w:val="nil"/>
                    <w:tr2bl w:val="nil"/>
                  </w:tcBorders>
                  <w:vAlign w:val="center"/>
                </w:tcPr>
                <w:p w14:paraId="28D2DCC1">
                  <w:pPr>
                    <w:pStyle w:val="33"/>
                    <w:rPr>
                      <w:color w:val="auto"/>
                    </w:rPr>
                  </w:pPr>
                  <w:r>
                    <w:rPr>
                      <w:rFonts w:hint="eastAsia"/>
                      <w:color w:val="auto"/>
                    </w:rPr>
                    <w:t>车间清洗用水</w:t>
                  </w:r>
                </w:p>
              </w:tc>
              <w:tc>
                <w:tcPr>
                  <w:tcW w:w="1075" w:type="dxa"/>
                  <w:tcBorders>
                    <w:tl2br w:val="nil"/>
                    <w:tr2bl w:val="nil"/>
                  </w:tcBorders>
                  <w:vAlign w:val="center"/>
                </w:tcPr>
                <w:p w14:paraId="3C6B8EA9">
                  <w:pPr>
                    <w:pStyle w:val="33"/>
                    <w:rPr>
                      <w:color w:val="auto"/>
                    </w:rPr>
                  </w:pPr>
                  <w:r>
                    <w:rPr>
                      <w:rFonts w:hint="eastAsia"/>
                      <w:color w:val="auto"/>
                    </w:rPr>
                    <w:t>580</w:t>
                  </w:r>
                </w:p>
              </w:tc>
              <w:tc>
                <w:tcPr>
                  <w:tcW w:w="1150" w:type="dxa"/>
                  <w:tcBorders>
                    <w:tl2br w:val="nil"/>
                    <w:tr2bl w:val="nil"/>
                  </w:tcBorders>
                  <w:vAlign w:val="center"/>
                </w:tcPr>
                <w:p w14:paraId="054CCC3B">
                  <w:pPr>
                    <w:pStyle w:val="33"/>
                    <w:rPr>
                      <w:color w:val="auto"/>
                    </w:rPr>
                  </w:pPr>
                  <w:r>
                    <w:rPr>
                      <w:rFonts w:hint="eastAsia"/>
                      <w:color w:val="auto"/>
                    </w:rPr>
                    <w:t>522</w:t>
                  </w:r>
                </w:p>
              </w:tc>
              <w:tc>
                <w:tcPr>
                  <w:tcW w:w="3375" w:type="dxa"/>
                  <w:vMerge w:val="continue"/>
                  <w:tcBorders>
                    <w:tl2br w:val="nil"/>
                    <w:tr2bl w:val="nil"/>
                  </w:tcBorders>
                  <w:vAlign w:val="center"/>
                </w:tcPr>
                <w:p w14:paraId="6E4396F2">
                  <w:pPr>
                    <w:pStyle w:val="33"/>
                    <w:rPr>
                      <w:color w:val="auto"/>
                    </w:rPr>
                  </w:pPr>
                </w:p>
              </w:tc>
            </w:tr>
            <w:tr w14:paraId="69759B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2371" w:type="dxa"/>
                  <w:gridSpan w:val="2"/>
                  <w:tcBorders>
                    <w:tl2br w:val="nil"/>
                    <w:tr2bl w:val="nil"/>
                  </w:tcBorders>
                  <w:vAlign w:val="center"/>
                </w:tcPr>
                <w:p w14:paraId="2F6D842E">
                  <w:pPr>
                    <w:pStyle w:val="33"/>
                    <w:rPr>
                      <w:color w:val="auto"/>
                    </w:rPr>
                  </w:pPr>
                  <w:r>
                    <w:rPr>
                      <w:rFonts w:hint="eastAsia"/>
                      <w:color w:val="auto"/>
                    </w:rPr>
                    <w:t>合计</w:t>
                  </w:r>
                </w:p>
              </w:tc>
              <w:tc>
                <w:tcPr>
                  <w:tcW w:w="1075" w:type="dxa"/>
                  <w:tcBorders>
                    <w:tl2br w:val="nil"/>
                    <w:tr2bl w:val="nil"/>
                  </w:tcBorders>
                  <w:vAlign w:val="center"/>
                </w:tcPr>
                <w:p w14:paraId="1774AAD6">
                  <w:pPr>
                    <w:pStyle w:val="33"/>
                    <w:rPr>
                      <w:rFonts w:hint="default" w:eastAsia="宋体"/>
                      <w:color w:val="auto"/>
                      <w:lang w:val="en-US" w:eastAsia="zh-CN"/>
                    </w:rPr>
                  </w:pPr>
                  <w:r>
                    <w:rPr>
                      <w:rFonts w:hint="eastAsia"/>
                      <w:color w:val="auto"/>
                      <w:lang w:val="en-US" w:eastAsia="zh-CN"/>
                    </w:rPr>
                    <w:t>1541.718</w:t>
                  </w:r>
                </w:p>
              </w:tc>
              <w:tc>
                <w:tcPr>
                  <w:tcW w:w="1150" w:type="dxa"/>
                  <w:tcBorders>
                    <w:tl2br w:val="nil"/>
                    <w:tr2bl w:val="nil"/>
                  </w:tcBorders>
                  <w:vAlign w:val="center"/>
                </w:tcPr>
                <w:p w14:paraId="71CA8A36">
                  <w:pPr>
                    <w:pStyle w:val="33"/>
                    <w:rPr>
                      <w:rFonts w:hint="default" w:eastAsia="宋体"/>
                      <w:color w:val="auto"/>
                      <w:lang w:val="en-US" w:eastAsia="zh-CN"/>
                    </w:rPr>
                  </w:pPr>
                  <w:r>
                    <w:rPr>
                      <w:rFonts w:hint="eastAsia"/>
                      <w:color w:val="auto"/>
                      <w:lang w:val="en-US" w:eastAsia="zh-CN"/>
                    </w:rPr>
                    <w:t>1338.772</w:t>
                  </w:r>
                </w:p>
              </w:tc>
              <w:tc>
                <w:tcPr>
                  <w:tcW w:w="3375" w:type="dxa"/>
                  <w:tcBorders>
                    <w:tl2br w:val="nil"/>
                    <w:tr2bl w:val="nil"/>
                  </w:tcBorders>
                  <w:vAlign w:val="center"/>
                </w:tcPr>
                <w:p w14:paraId="02253BD9">
                  <w:pPr>
                    <w:pStyle w:val="33"/>
                    <w:rPr>
                      <w:color w:val="auto"/>
                    </w:rPr>
                  </w:pPr>
                  <w:r>
                    <w:rPr>
                      <w:rFonts w:hint="eastAsia"/>
                      <w:color w:val="auto"/>
                    </w:rPr>
                    <w:t>/</w:t>
                  </w:r>
                </w:p>
              </w:tc>
            </w:tr>
          </w:tbl>
          <w:p w14:paraId="5FDFE78C">
            <w:pPr>
              <w:ind w:firstLine="480"/>
              <w:rPr>
                <w:color w:val="auto"/>
              </w:rPr>
            </w:pPr>
            <w:r>
              <w:rPr>
                <w:rFonts w:hint="eastAsia"/>
                <w:color w:val="auto"/>
                <w:lang w:val="en-US" w:eastAsia="zh-CN"/>
              </w:rPr>
              <w:t>7</w:t>
            </w:r>
            <w:r>
              <w:rPr>
                <w:rFonts w:hint="eastAsia"/>
                <w:color w:val="auto"/>
              </w:rPr>
              <w:t>）项目水平衡图</w:t>
            </w:r>
          </w:p>
          <w:p w14:paraId="2BC2CCF6">
            <w:pPr>
              <w:ind w:firstLine="0" w:firstLineChars="0"/>
              <w:jc w:val="center"/>
              <w:rPr>
                <w:color w:val="auto"/>
              </w:rPr>
            </w:pPr>
            <w:r>
              <w:rPr>
                <w:color w:val="auto"/>
              </w:rPr>
              <w:drawing>
                <wp:inline distT="0" distB="0" distL="114300" distR="114300">
                  <wp:extent cx="5158105" cy="3655060"/>
                  <wp:effectExtent l="0" t="0" r="4445" b="2540"/>
                  <wp:docPr id="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
                          <pic:cNvPicPr>
                            <a:picLocks noChangeAspect="1"/>
                          </pic:cNvPicPr>
                        </pic:nvPicPr>
                        <pic:blipFill>
                          <a:blip r:embed="rId20"/>
                          <a:stretch>
                            <a:fillRect/>
                          </a:stretch>
                        </pic:blipFill>
                        <pic:spPr>
                          <a:xfrm>
                            <a:off x="0" y="0"/>
                            <a:ext cx="5158105" cy="3655060"/>
                          </a:xfrm>
                          <a:prstGeom prst="rect">
                            <a:avLst/>
                          </a:prstGeom>
                          <a:noFill/>
                          <a:ln>
                            <a:noFill/>
                          </a:ln>
                        </pic:spPr>
                      </pic:pic>
                    </a:graphicData>
                  </a:graphic>
                </wp:inline>
              </w:drawing>
            </w:r>
          </w:p>
          <w:p w14:paraId="6B3DD0CE">
            <w:pPr>
              <w:pStyle w:val="35"/>
              <w:rPr>
                <w:rFonts w:hint="default"/>
                <w:color w:val="auto"/>
              </w:rPr>
            </w:pPr>
            <w:r>
              <w:rPr>
                <w:color w:val="auto"/>
              </w:rPr>
              <w:t>图2-1 项目水平衡图  单位：m</w:t>
            </w:r>
            <w:r>
              <w:rPr>
                <w:color w:val="auto"/>
                <w:vertAlign w:val="superscript"/>
              </w:rPr>
              <w:t>3</w:t>
            </w:r>
            <w:r>
              <w:rPr>
                <w:color w:val="auto"/>
              </w:rPr>
              <w:t>/a</w:t>
            </w:r>
          </w:p>
          <w:p w14:paraId="3D806E11">
            <w:pPr>
              <w:ind w:firstLine="480"/>
              <w:rPr>
                <w:color w:val="auto"/>
              </w:rPr>
            </w:pPr>
            <w:r>
              <w:rPr>
                <w:rFonts w:hint="eastAsia"/>
                <w:color w:val="auto"/>
              </w:rPr>
              <w:t>（</w:t>
            </w:r>
            <w:r>
              <w:rPr>
                <w:rFonts w:hint="eastAsia"/>
                <w:color w:val="auto"/>
                <w:lang w:val="en-US" w:eastAsia="zh-CN"/>
              </w:rPr>
              <w:t>3</w:t>
            </w:r>
            <w:r>
              <w:rPr>
                <w:rFonts w:hint="eastAsia"/>
                <w:color w:val="auto"/>
              </w:rPr>
              <w:t>）供电系统</w:t>
            </w:r>
          </w:p>
          <w:p w14:paraId="030B4624">
            <w:pPr>
              <w:ind w:firstLine="480"/>
              <w:rPr>
                <w:color w:val="auto"/>
              </w:rPr>
            </w:pPr>
            <w:r>
              <w:rPr>
                <w:rFonts w:hint="eastAsia"/>
                <w:color w:val="auto"/>
              </w:rPr>
              <w:t>项目供电依托市政电网供电。</w:t>
            </w:r>
          </w:p>
          <w:p w14:paraId="628E7CE3">
            <w:pPr>
              <w:ind w:firstLine="482"/>
              <w:rPr>
                <w:b/>
                <w:bCs/>
                <w:color w:val="auto"/>
              </w:rPr>
            </w:pPr>
            <w:r>
              <w:rPr>
                <w:rFonts w:hint="eastAsia"/>
                <w:b/>
                <w:bCs/>
                <w:color w:val="auto"/>
              </w:rPr>
              <w:t>9、平面布置</w:t>
            </w:r>
          </w:p>
          <w:p w14:paraId="0F59F7F2">
            <w:pPr>
              <w:ind w:firstLine="480"/>
              <w:rPr>
                <w:rFonts w:hint="eastAsia" w:eastAsia="宋体"/>
                <w:color w:val="auto"/>
                <w:lang w:eastAsia="zh-CN"/>
              </w:rPr>
            </w:pPr>
            <w:r>
              <w:rPr>
                <w:rFonts w:hint="eastAsia"/>
                <w:color w:val="auto"/>
              </w:rPr>
              <w:t>本项目位于柳州市柳江区新兴工业园利业路30号1-1，利用企业现有自有厂房进行生产。厂房内部按照生产工艺及功能需求划分为原辅料及包材储存区、原料预处理及粉碎区、调配熟制区、冷却及包装区、成品储存区以及办公等辅助区域。主要生产设备根据工艺流程集中布置，物料由原料储存区域依次进入预处理、粉碎、调配混合、熟制、冷却、灌装或包装等工序，最终进入成品储存区域</w:t>
            </w:r>
            <w:r>
              <w:rPr>
                <w:rStyle w:val="22"/>
                <w:rFonts w:hint="eastAsia"/>
                <w:color w:val="auto"/>
                <w:lang w:eastAsia="zh-CN"/>
              </w:rPr>
              <w:t>。</w:t>
            </w:r>
          </w:p>
          <w:p w14:paraId="0989C37A">
            <w:pPr>
              <w:ind w:firstLine="480"/>
              <w:rPr>
                <w:color w:val="auto"/>
              </w:rPr>
            </w:pPr>
            <w:r>
              <w:rPr>
                <w:rFonts w:hint="eastAsia"/>
                <w:color w:val="auto"/>
              </w:rPr>
              <w:t>项目现状各生产、储存及辅助功能区域划分较为明确，总体而言，项目平面布置能够满足现有生产工艺及管理要求，布局较为合理。</w:t>
            </w:r>
          </w:p>
        </w:tc>
      </w:tr>
      <w:tr w14:paraId="4436E9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15" w:type="dxa"/>
            <w:vAlign w:val="center"/>
          </w:tcPr>
          <w:p w14:paraId="3EF7C076">
            <w:pPr>
              <w:pStyle w:val="13"/>
              <w:adjustRightInd w:val="0"/>
              <w:snapToGrid w:val="0"/>
              <w:spacing w:beforeAutospacing="0" w:afterAutospacing="0"/>
              <w:rPr>
                <w:rFonts w:hint="eastAsia" w:cs="宋体"/>
                <w:color w:val="auto"/>
                <w:szCs w:val="24"/>
              </w:rPr>
            </w:pPr>
            <w:r>
              <w:rPr>
                <w:rFonts w:hint="eastAsia" w:cs="宋体"/>
                <w:color w:val="auto"/>
                <w:szCs w:val="24"/>
              </w:rPr>
              <w:t>工艺流程和产排污环节</w:t>
            </w:r>
          </w:p>
        </w:tc>
        <w:tc>
          <w:tcPr>
            <w:tcW w:w="8345" w:type="dxa"/>
          </w:tcPr>
          <w:p w14:paraId="419F45C9">
            <w:pPr>
              <w:ind w:firstLine="482"/>
              <w:rPr>
                <w:color w:val="auto"/>
              </w:rPr>
            </w:pPr>
            <w:r>
              <w:rPr>
                <w:rFonts w:hint="eastAsia"/>
                <w:b/>
                <w:bCs/>
                <w:color w:val="auto"/>
              </w:rPr>
              <w:t>一、施工期</w:t>
            </w:r>
          </w:p>
          <w:p w14:paraId="1644FE79">
            <w:pPr>
              <w:ind w:firstLine="480"/>
              <w:rPr>
                <w:color w:val="auto"/>
              </w:rPr>
            </w:pPr>
            <w:r>
              <w:rPr>
                <w:rFonts w:hint="eastAsia"/>
                <w:color w:val="auto"/>
              </w:rPr>
              <w:t>本项目已建成并投入生产，不涉及厂房主体土建施工，施工期影响主要为环保设施安装及局部改造过程中产生的噪声、少量包装废物等。</w:t>
            </w:r>
          </w:p>
          <w:p w14:paraId="6FE32240">
            <w:pPr>
              <w:ind w:firstLine="482"/>
              <w:rPr>
                <w:color w:val="auto"/>
              </w:rPr>
            </w:pPr>
            <w:r>
              <w:rPr>
                <w:rFonts w:hint="eastAsia"/>
                <w:b/>
                <w:bCs/>
                <w:color w:val="auto"/>
              </w:rPr>
              <w:t>二、运营期</w:t>
            </w:r>
          </w:p>
          <w:p w14:paraId="77A5D739">
            <w:pPr>
              <w:ind w:firstLine="482"/>
              <w:rPr>
                <w:color w:val="auto"/>
              </w:rPr>
            </w:pPr>
            <w:r>
              <w:rPr>
                <w:rFonts w:hint="eastAsia"/>
                <w:b/>
                <w:bCs/>
                <w:color w:val="auto"/>
              </w:rPr>
              <w:t>1、生产流程</w:t>
            </w:r>
          </w:p>
          <w:p w14:paraId="303EAE27">
            <w:pPr>
              <w:ind w:firstLine="480"/>
              <w:rPr>
                <w:color w:val="auto"/>
              </w:rPr>
            </w:pPr>
            <w:r>
              <w:rPr>
                <w:rFonts w:hint="eastAsia"/>
                <w:color w:val="auto"/>
              </w:rPr>
              <w:t>本项目主要生产液态复合调味料、半固体复合调味酱、鸡精调味料、固体复合调味粉及香辛料粉、</w:t>
            </w:r>
            <w:r>
              <w:rPr>
                <w:rFonts w:hint="eastAsia"/>
                <w:color w:val="auto"/>
              </w:rPr>
              <w:t>复合调味油</w:t>
            </w:r>
            <w:r>
              <w:rPr>
                <w:rFonts w:hint="eastAsia"/>
                <w:color w:val="auto"/>
              </w:rPr>
              <w:t>，并进行食糖分装。根据不同产品的原料组成及生产工艺，主要涉及原料验收、预处理、粉碎、调配混合、熟制、制粒干燥、过滤、冷却、灌装及包装等工序。各类产品具体生产工艺流程分别如下。</w:t>
            </w:r>
          </w:p>
          <w:p w14:paraId="6FABDF2A">
            <w:pPr>
              <w:ind w:firstLine="482"/>
              <w:rPr>
                <w:b/>
                <w:bCs/>
                <w:color w:val="auto"/>
              </w:rPr>
            </w:pPr>
            <w:r>
              <w:rPr>
                <w:rFonts w:hint="eastAsia"/>
                <w:b/>
                <w:bCs/>
                <w:color w:val="auto"/>
              </w:rPr>
              <w:t>（1）液态复合调味料</w:t>
            </w:r>
          </w:p>
          <w:p w14:paraId="2F9D35A9">
            <w:pPr>
              <w:ind w:firstLine="0" w:firstLineChars="0"/>
              <w:jc w:val="center"/>
              <w:rPr>
                <w:color w:val="auto"/>
              </w:rPr>
            </w:pPr>
            <w:r>
              <w:rPr>
                <w:color w:val="auto"/>
              </w:rPr>
              <w:drawing>
                <wp:inline distT="0" distB="0" distL="114300" distR="114300">
                  <wp:extent cx="5159375" cy="764540"/>
                  <wp:effectExtent l="0" t="0" r="3175" b="16510"/>
                  <wp:docPr id="6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
                          <pic:cNvPicPr>
                            <a:picLocks noChangeAspect="1"/>
                          </pic:cNvPicPr>
                        </pic:nvPicPr>
                        <pic:blipFill>
                          <a:blip r:embed="rId21"/>
                          <a:stretch>
                            <a:fillRect/>
                          </a:stretch>
                        </pic:blipFill>
                        <pic:spPr>
                          <a:xfrm>
                            <a:off x="0" y="0"/>
                            <a:ext cx="5159375" cy="764540"/>
                          </a:xfrm>
                          <a:prstGeom prst="rect">
                            <a:avLst/>
                          </a:prstGeom>
                          <a:noFill/>
                          <a:ln>
                            <a:noFill/>
                          </a:ln>
                        </pic:spPr>
                      </pic:pic>
                    </a:graphicData>
                  </a:graphic>
                </wp:inline>
              </w:drawing>
            </w:r>
          </w:p>
          <w:p w14:paraId="3D206159">
            <w:pPr>
              <w:pStyle w:val="35"/>
              <w:rPr>
                <w:rFonts w:hint="default"/>
                <w:color w:val="auto"/>
              </w:rPr>
            </w:pPr>
            <w:r>
              <w:rPr>
                <w:color w:val="auto"/>
              </w:rPr>
              <w:t>图2-2 液态复合调味料生产工艺图</w:t>
            </w:r>
          </w:p>
          <w:p w14:paraId="47E85E0A">
            <w:pPr>
              <w:ind w:firstLine="480"/>
              <w:rPr>
                <w:color w:val="auto"/>
              </w:rPr>
            </w:pPr>
            <w:r>
              <w:rPr>
                <w:color w:val="auto"/>
              </w:rPr>
              <w:t>原辅料进厂后，首先对其外观、包装完整性、保质期及合格证明等进行验收，验收不合格的原料退回供应商或作为不合格原料处置。</w:t>
            </w:r>
          </w:p>
          <w:p w14:paraId="5E8407C4">
            <w:pPr>
              <w:ind w:firstLine="480"/>
              <w:rPr>
                <w:color w:val="auto"/>
              </w:rPr>
            </w:pPr>
            <w:r>
              <w:rPr>
                <w:color w:val="auto"/>
              </w:rPr>
              <w:t>姜、葱、蒜等需要处理的原料经挑选、清洗和切配后备用，预处理过程产生原料清洗废水、原料杂质及设备噪声。预处理后的原料与饮用水、味精、食盐、白砂糖等按照产品配方进行称量、投料和调配，并在熬制设备内加热搅拌，熬制温度约100℃、时间约30min。调配、熬制过程产生食品加工异味、天然气燃烧废气及设备噪声。</w:t>
            </w:r>
          </w:p>
          <w:p w14:paraId="1681C890">
            <w:pPr>
              <w:ind w:firstLine="480"/>
              <w:rPr>
                <w:color w:val="auto"/>
              </w:rPr>
            </w:pPr>
            <w:r>
              <w:rPr>
                <w:color w:val="auto"/>
              </w:rPr>
              <w:t>熬制完成后的物料经过滤去除较大的固体物料，产生过滤残渣。过滤后的液态调味料趁热进行灌装、封口，再经贴标和外包装后形成成品。包装过程产生少量废包装材料及设备噪声。</w:t>
            </w:r>
          </w:p>
          <w:p w14:paraId="2597BE38">
            <w:pPr>
              <w:ind w:firstLine="482"/>
              <w:rPr>
                <w:b/>
                <w:bCs/>
                <w:color w:val="auto"/>
              </w:rPr>
            </w:pPr>
            <w:r>
              <w:rPr>
                <w:rFonts w:hint="eastAsia"/>
                <w:b/>
                <w:bCs/>
                <w:color w:val="auto"/>
              </w:rPr>
              <w:t>（2）半固体复合调味酱</w:t>
            </w:r>
          </w:p>
          <w:p w14:paraId="49691EA5">
            <w:pPr>
              <w:ind w:firstLine="0" w:firstLineChars="0"/>
              <w:jc w:val="center"/>
              <w:rPr>
                <w:color w:val="auto"/>
              </w:rPr>
            </w:pPr>
            <w:r>
              <w:rPr>
                <w:color w:val="auto"/>
              </w:rPr>
              <w:drawing>
                <wp:inline distT="0" distB="0" distL="114300" distR="114300">
                  <wp:extent cx="5158105" cy="756285"/>
                  <wp:effectExtent l="0" t="0" r="4445" b="5715"/>
                  <wp:docPr id="6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
                          <pic:cNvPicPr>
                            <a:picLocks noChangeAspect="1"/>
                          </pic:cNvPicPr>
                        </pic:nvPicPr>
                        <pic:blipFill>
                          <a:blip r:embed="rId22"/>
                          <a:stretch>
                            <a:fillRect/>
                          </a:stretch>
                        </pic:blipFill>
                        <pic:spPr>
                          <a:xfrm>
                            <a:off x="0" y="0"/>
                            <a:ext cx="5158105" cy="756285"/>
                          </a:xfrm>
                          <a:prstGeom prst="rect">
                            <a:avLst/>
                          </a:prstGeom>
                          <a:noFill/>
                          <a:ln>
                            <a:noFill/>
                          </a:ln>
                        </pic:spPr>
                      </pic:pic>
                    </a:graphicData>
                  </a:graphic>
                </wp:inline>
              </w:drawing>
            </w:r>
          </w:p>
          <w:p w14:paraId="60C97189">
            <w:pPr>
              <w:pStyle w:val="35"/>
              <w:rPr>
                <w:rFonts w:hint="default"/>
                <w:color w:val="auto"/>
              </w:rPr>
            </w:pPr>
            <w:r>
              <w:rPr>
                <w:rFonts w:hint="default"/>
                <w:color w:val="auto"/>
              </w:rPr>
              <w:t>图2-</w:t>
            </w:r>
            <w:r>
              <w:rPr>
                <w:color w:val="auto"/>
              </w:rPr>
              <w:t>3</w:t>
            </w:r>
            <w:r>
              <w:rPr>
                <w:rFonts w:hint="default"/>
                <w:color w:val="auto"/>
              </w:rPr>
              <w:t xml:space="preserve"> 半固体复合调味酱生产工艺图</w:t>
            </w:r>
          </w:p>
          <w:p w14:paraId="19127641">
            <w:pPr>
              <w:ind w:firstLine="480"/>
              <w:rPr>
                <w:color w:val="auto"/>
              </w:rPr>
            </w:pPr>
            <w:r>
              <w:rPr>
                <w:color w:val="auto"/>
              </w:rPr>
              <w:t>原辅料进厂后，对其外观、质量、包装完整性及合格证明等进行验收，验收不合格的原料退回供应商或作为不合格原料处置。</w:t>
            </w:r>
          </w:p>
          <w:p w14:paraId="585A149E">
            <w:pPr>
              <w:ind w:firstLine="480"/>
              <w:rPr>
                <w:color w:val="auto"/>
              </w:rPr>
            </w:pPr>
            <w:r>
              <w:rPr>
                <w:color w:val="auto"/>
              </w:rPr>
              <w:t>辣椒、姜、蒜等原料经挑选、清洗、切配等预处理后备用，产生原料清洗废水、原料杂质及设备噪声。处理后的原料与酸梅酱、食用植物油、芝麻、冰糖、食盐及其他辅料按照产品配方进行称量和投料，在熬制设备内进行调配、搅拌和熬制，熬制温度约100℃、时间约30min。该过程产生食品加工油烟、异味、天然气燃烧废气及设备噪声。</w:t>
            </w:r>
          </w:p>
          <w:p w14:paraId="23AEC913">
            <w:pPr>
              <w:ind w:firstLine="480"/>
              <w:rPr>
                <w:color w:val="auto"/>
              </w:rPr>
            </w:pPr>
            <w:r>
              <w:rPr>
                <w:color w:val="auto"/>
              </w:rPr>
              <w:t>灌装前采用冲瓶设备对外购包装瓶进行冲洗，产生洗瓶废水。熬制完成的半固体调味酱经热灌装、封盖，再进行贴标和外包装，最终形成成品。包装过程产生废包装材料及设备噪声。</w:t>
            </w:r>
          </w:p>
          <w:p w14:paraId="38B3A88A">
            <w:pPr>
              <w:ind w:firstLine="482"/>
              <w:rPr>
                <w:b/>
                <w:bCs/>
                <w:color w:val="auto"/>
              </w:rPr>
            </w:pPr>
            <w:r>
              <w:rPr>
                <w:rFonts w:hint="eastAsia"/>
                <w:b/>
                <w:bCs/>
                <w:color w:val="auto"/>
              </w:rPr>
              <w:t>（3）鸡精调味料生产工艺</w:t>
            </w:r>
          </w:p>
          <w:p w14:paraId="5F559344">
            <w:pPr>
              <w:ind w:firstLine="0" w:firstLineChars="0"/>
              <w:jc w:val="center"/>
              <w:rPr>
                <w:color w:val="auto"/>
              </w:rPr>
            </w:pPr>
            <w:r>
              <w:rPr>
                <w:color w:val="auto"/>
              </w:rPr>
              <w:drawing>
                <wp:inline distT="0" distB="0" distL="114300" distR="114300">
                  <wp:extent cx="5161280" cy="851535"/>
                  <wp:effectExtent l="0" t="0" r="1270" b="5715"/>
                  <wp:docPr id="6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
                          <pic:cNvPicPr>
                            <a:picLocks noChangeAspect="1"/>
                          </pic:cNvPicPr>
                        </pic:nvPicPr>
                        <pic:blipFill>
                          <a:blip r:embed="rId23"/>
                          <a:stretch>
                            <a:fillRect/>
                          </a:stretch>
                        </pic:blipFill>
                        <pic:spPr>
                          <a:xfrm>
                            <a:off x="0" y="0"/>
                            <a:ext cx="5161280" cy="851535"/>
                          </a:xfrm>
                          <a:prstGeom prst="rect">
                            <a:avLst/>
                          </a:prstGeom>
                          <a:noFill/>
                          <a:ln>
                            <a:noFill/>
                          </a:ln>
                        </pic:spPr>
                      </pic:pic>
                    </a:graphicData>
                  </a:graphic>
                </wp:inline>
              </w:drawing>
            </w:r>
          </w:p>
          <w:p w14:paraId="70FF8F70">
            <w:pPr>
              <w:pStyle w:val="35"/>
              <w:rPr>
                <w:rFonts w:hint="default"/>
                <w:color w:val="auto"/>
              </w:rPr>
            </w:pPr>
            <w:r>
              <w:rPr>
                <w:color w:val="auto"/>
              </w:rPr>
              <w:t>图2-4 鸡精调味料生产工艺图</w:t>
            </w:r>
          </w:p>
          <w:p w14:paraId="79148250">
            <w:pPr>
              <w:ind w:firstLine="480"/>
              <w:rPr>
                <w:color w:val="auto"/>
              </w:rPr>
            </w:pPr>
            <w:r>
              <w:rPr>
                <w:color w:val="auto"/>
              </w:rPr>
              <w:t>原辅料进厂后，对其质量、包装完整性和合格证明等进行验收，不合格原料退回供应商或作为不合格原料处置。</w:t>
            </w:r>
          </w:p>
          <w:p w14:paraId="39869717">
            <w:pPr>
              <w:ind w:firstLine="480"/>
              <w:rPr>
                <w:color w:val="auto"/>
              </w:rPr>
            </w:pPr>
            <w:r>
              <w:rPr>
                <w:color w:val="auto"/>
              </w:rPr>
              <w:t>需要粉碎的原料进入粉碎设备进行粉碎，使其粒径满足后续混合要求，粉碎过程产生颗粒物及设备噪声。粉碎后的原料按照产品配方进行称量、投料和混合，混合时间约30min，使各组分混合均匀，该过程产生少量投料、混合粉尘及设备噪声。</w:t>
            </w:r>
          </w:p>
          <w:p w14:paraId="0D025AC9">
            <w:pPr>
              <w:ind w:firstLine="480"/>
              <w:rPr>
                <w:color w:val="auto"/>
              </w:rPr>
            </w:pPr>
            <w:r>
              <w:rPr>
                <w:color w:val="auto"/>
              </w:rPr>
              <w:t>混合后的物料进入制粒设备进行制粒，随后进入烘干设备进行干燥。烘干采用电加热方式，分两个阶段进行，第一阶段温度约80℃、时间约1.5～2h，第二阶段温度约90～105℃、时间约30～40min，使产品含水率满足要求。制粒、干燥过程产生少量颗粒物、干燥废气及设备噪声。</w:t>
            </w:r>
          </w:p>
          <w:p w14:paraId="44C02C4B">
            <w:pPr>
              <w:ind w:firstLine="480"/>
              <w:rPr>
                <w:color w:val="auto"/>
              </w:rPr>
            </w:pPr>
            <w:r>
              <w:rPr>
                <w:color w:val="auto"/>
              </w:rPr>
              <w:t>干燥后的产品经计量、内包装和封口，再进行外包装，最终形成成品。包装过程产生少量颗粒物、废包装材料及设备噪声。</w:t>
            </w:r>
          </w:p>
          <w:p w14:paraId="6362BE8F">
            <w:pPr>
              <w:ind w:firstLine="480"/>
              <w:rPr>
                <w:b/>
                <w:bCs/>
                <w:color w:val="auto"/>
              </w:rPr>
            </w:pPr>
            <w:r>
              <w:rPr>
                <w:rFonts w:hint="eastAsia"/>
                <w:b/>
                <w:bCs/>
                <w:color w:val="auto"/>
              </w:rPr>
              <w:t>（4）香辛料粉、复合调味粉生产工艺</w:t>
            </w:r>
          </w:p>
          <w:p w14:paraId="5E3563D1">
            <w:pPr>
              <w:ind w:firstLine="0" w:firstLineChars="0"/>
              <w:jc w:val="center"/>
              <w:rPr>
                <w:color w:val="auto"/>
              </w:rPr>
            </w:pPr>
            <w:r>
              <w:rPr>
                <w:color w:val="auto"/>
              </w:rPr>
              <w:drawing>
                <wp:inline distT="0" distB="0" distL="114300" distR="114300">
                  <wp:extent cx="5156835" cy="1061085"/>
                  <wp:effectExtent l="0" t="0" r="5715" b="5715"/>
                  <wp:docPr id="6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7"/>
                          <pic:cNvPicPr>
                            <a:picLocks noChangeAspect="1"/>
                          </pic:cNvPicPr>
                        </pic:nvPicPr>
                        <pic:blipFill>
                          <a:blip r:embed="rId24"/>
                          <a:stretch>
                            <a:fillRect/>
                          </a:stretch>
                        </pic:blipFill>
                        <pic:spPr>
                          <a:xfrm>
                            <a:off x="0" y="0"/>
                            <a:ext cx="5156835" cy="1061085"/>
                          </a:xfrm>
                          <a:prstGeom prst="rect">
                            <a:avLst/>
                          </a:prstGeom>
                          <a:noFill/>
                          <a:ln>
                            <a:noFill/>
                          </a:ln>
                        </pic:spPr>
                      </pic:pic>
                    </a:graphicData>
                  </a:graphic>
                </wp:inline>
              </w:drawing>
            </w:r>
          </w:p>
          <w:p w14:paraId="41432A08">
            <w:pPr>
              <w:pStyle w:val="35"/>
              <w:rPr>
                <w:rFonts w:hint="default"/>
                <w:color w:val="auto"/>
              </w:rPr>
            </w:pPr>
            <w:r>
              <w:rPr>
                <w:color w:val="auto"/>
              </w:rPr>
              <w:t>图2-5 香辛料粉、复合调味粉生产工艺图</w:t>
            </w:r>
          </w:p>
          <w:p w14:paraId="4C2137F2">
            <w:pPr>
              <w:ind w:firstLine="480"/>
              <w:rPr>
                <w:color w:val="auto"/>
              </w:rPr>
            </w:pPr>
            <w:r>
              <w:rPr>
                <w:color w:val="auto"/>
              </w:rPr>
              <w:t>原辅料进厂后，对其外观、质量、包装完整性及合格证明等进行验收，不合格原料退回供应商或作为不合格原料处置。</w:t>
            </w:r>
          </w:p>
          <w:p w14:paraId="6088EEFA">
            <w:pPr>
              <w:ind w:firstLine="480"/>
              <w:rPr>
                <w:color w:val="auto"/>
              </w:rPr>
            </w:pPr>
            <w:r>
              <w:rPr>
                <w:color w:val="auto"/>
              </w:rPr>
              <w:t>辣椒、孜然、沙姜、八角、桂皮、花椒等需要粉碎的香辛料经粉碎处理，使其粒径满足产品要求，粉碎过程产生颗粒物及设备噪声。不需要粉碎的粉状原料直接进入后续配料工序。</w:t>
            </w:r>
          </w:p>
          <w:p w14:paraId="549BA45E">
            <w:pPr>
              <w:ind w:firstLine="480"/>
              <w:rPr>
                <w:color w:val="auto"/>
              </w:rPr>
            </w:pPr>
            <w:r>
              <w:rPr>
                <w:color w:val="auto"/>
              </w:rPr>
              <w:t>粉碎后的香辛料与味精、食盐、白砂糖及食品添加剂等按照不同产品配方进行称量、投料和混合，混合时间约30min，使物料混合均匀。投料、混合过程产生少量颗粒物及设备噪声。</w:t>
            </w:r>
          </w:p>
          <w:p w14:paraId="41F41448">
            <w:pPr>
              <w:ind w:firstLine="480"/>
              <w:rPr>
                <w:color w:val="auto"/>
              </w:rPr>
            </w:pPr>
            <w:r>
              <w:rPr>
                <w:color w:val="auto"/>
              </w:rPr>
              <w:t>混合后的粉状产品经计量、内包装和封口，再进行外包装，最终形成成品。包装过程产生少量颗粒物、废包装材料及设备噪声。</w:t>
            </w:r>
          </w:p>
          <w:p w14:paraId="08922782">
            <w:pPr>
              <w:ind w:firstLine="482"/>
              <w:rPr>
                <w:color w:val="auto"/>
              </w:rPr>
            </w:pPr>
            <w:r>
              <w:rPr>
                <w:rFonts w:hint="eastAsia"/>
                <w:b/>
                <w:bCs/>
                <w:color w:val="auto"/>
              </w:rPr>
              <w:t>（5）复合调味油生产工艺</w:t>
            </w:r>
          </w:p>
          <w:p w14:paraId="6A026E61">
            <w:pPr>
              <w:ind w:firstLine="0" w:firstLineChars="0"/>
              <w:jc w:val="center"/>
              <w:rPr>
                <w:color w:val="auto"/>
              </w:rPr>
            </w:pPr>
            <w:r>
              <w:rPr>
                <w:color w:val="auto"/>
              </w:rPr>
              <w:drawing>
                <wp:inline distT="0" distB="0" distL="114300" distR="114300">
                  <wp:extent cx="5158105" cy="874395"/>
                  <wp:effectExtent l="0" t="0" r="4445" b="1905"/>
                  <wp:docPr id="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8"/>
                          <pic:cNvPicPr>
                            <a:picLocks noChangeAspect="1"/>
                          </pic:cNvPicPr>
                        </pic:nvPicPr>
                        <pic:blipFill>
                          <a:blip r:embed="rId25"/>
                          <a:stretch>
                            <a:fillRect/>
                          </a:stretch>
                        </pic:blipFill>
                        <pic:spPr>
                          <a:xfrm>
                            <a:off x="0" y="0"/>
                            <a:ext cx="5158105" cy="874395"/>
                          </a:xfrm>
                          <a:prstGeom prst="rect">
                            <a:avLst/>
                          </a:prstGeom>
                          <a:noFill/>
                          <a:ln>
                            <a:noFill/>
                          </a:ln>
                        </pic:spPr>
                      </pic:pic>
                    </a:graphicData>
                  </a:graphic>
                </wp:inline>
              </w:drawing>
            </w:r>
          </w:p>
          <w:p w14:paraId="7A517C5E">
            <w:pPr>
              <w:pStyle w:val="35"/>
              <w:rPr>
                <w:rFonts w:hint="default"/>
                <w:color w:val="auto"/>
              </w:rPr>
            </w:pPr>
            <w:r>
              <w:rPr>
                <w:color w:val="auto"/>
              </w:rPr>
              <w:t>图2-6 复合调味油生产工艺图</w:t>
            </w:r>
          </w:p>
          <w:p w14:paraId="4FB828D9">
            <w:pPr>
              <w:ind w:firstLine="480"/>
              <w:rPr>
                <w:color w:val="auto"/>
              </w:rPr>
            </w:pPr>
            <w:r>
              <w:rPr>
                <w:color w:val="auto"/>
              </w:rPr>
              <w:t>食用植物油、干制辣椒、胡椒、花椒、香叶、沙姜、八角、桂皮等原辅料进厂后，对其外观、质量、包装完整性及合格证明等进行验收，不合格原料退回供应商或作为不合格原料处置。</w:t>
            </w:r>
          </w:p>
          <w:p w14:paraId="545EE8A4">
            <w:pPr>
              <w:ind w:firstLine="480"/>
              <w:rPr>
                <w:color w:val="auto"/>
              </w:rPr>
            </w:pPr>
            <w:r>
              <w:rPr>
                <w:color w:val="auto"/>
              </w:rPr>
              <w:t>干制香辛料经人工挑选、整理，去除少量杂质，必要时进行切碎处理。主要产生少量原料杂质及设备噪声。</w:t>
            </w:r>
          </w:p>
          <w:p w14:paraId="367CD67B">
            <w:pPr>
              <w:ind w:firstLine="480"/>
              <w:rPr>
                <w:color w:val="auto"/>
              </w:rPr>
            </w:pPr>
            <w:r>
              <w:rPr>
                <w:color w:val="auto"/>
              </w:rPr>
              <w:t>预处理后的香辛料与食用植物油按照产品配方进行称量和投料，在熬制设备内进行调配、搅拌和熬制，熬制温度约150℃、时间约10min。熬制过程产生食品加工油烟、异味、天然气燃烧废气及设备噪声。</w:t>
            </w:r>
          </w:p>
          <w:p w14:paraId="676EE849">
            <w:pPr>
              <w:ind w:firstLine="480"/>
              <w:rPr>
                <w:color w:val="auto"/>
              </w:rPr>
            </w:pPr>
            <w:r>
              <w:rPr>
                <w:color w:val="auto"/>
              </w:rPr>
              <w:t>熬制完成后进行沉淀、过滤，使调味油与辣椒、香辛料等固体残渣分离，产生含油过滤残渣。过滤后的调味油经自然冷却后进行灌装、封盖、贴标和外包装，最终形成成品，包装过程产生废包装材料及设备噪声。</w:t>
            </w:r>
          </w:p>
          <w:p w14:paraId="6447BCB6">
            <w:pPr>
              <w:ind w:firstLine="482"/>
              <w:rPr>
                <w:b/>
                <w:bCs/>
                <w:color w:val="auto"/>
              </w:rPr>
            </w:pPr>
            <w:r>
              <w:rPr>
                <w:rFonts w:hint="eastAsia"/>
                <w:b/>
                <w:bCs/>
                <w:color w:val="auto"/>
              </w:rPr>
              <w:t>（6）食糖分装生产工艺</w:t>
            </w:r>
          </w:p>
          <w:p w14:paraId="2F1F85A8">
            <w:pPr>
              <w:ind w:firstLine="0" w:firstLineChars="0"/>
              <w:jc w:val="center"/>
              <w:rPr>
                <w:color w:val="auto"/>
              </w:rPr>
            </w:pPr>
            <w:r>
              <w:rPr>
                <w:color w:val="auto"/>
              </w:rPr>
              <w:drawing>
                <wp:inline distT="0" distB="0" distL="114300" distR="114300">
                  <wp:extent cx="4105275" cy="1028700"/>
                  <wp:effectExtent l="0" t="0" r="9525" b="0"/>
                  <wp:docPr id="7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9"/>
                          <pic:cNvPicPr>
                            <a:picLocks noChangeAspect="1"/>
                          </pic:cNvPicPr>
                        </pic:nvPicPr>
                        <pic:blipFill>
                          <a:blip r:embed="rId26"/>
                          <a:stretch>
                            <a:fillRect/>
                          </a:stretch>
                        </pic:blipFill>
                        <pic:spPr>
                          <a:xfrm>
                            <a:off x="0" y="0"/>
                            <a:ext cx="4105275" cy="1028700"/>
                          </a:xfrm>
                          <a:prstGeom prst="rect">
                            <a:avLst/>
                          </a:prstGeom>
                          <a:noFill/>
                          <a:ln>
                            <a:noFill/>
                          </a:ln>
                        </pic:spPr>
                      </pic:pic>
                    </a:graphicData>
                  </a:graphic>
                </wp:inline>
              </w:drawing>
            </w:r>
          </w:p>
          <w:p w14:paraId="67575B51">
            <w:pPr>
              <w:pStyle w:val="35"/>
              <w:rPr>
                <w:rFonts w:hint="default"/>
                <w:color w:val="auto"/>
              </w:rPr>
            </w:pPr>
            <w:r>
              <w:rPr>
                <w:color w:val="auto"/>
              </w:rPr>
              <w:t>图2-7 食糖分装工艺图</w:t>
            </w:r>
          </w:p>
          <w:p w14:paraId="5EB11B08">
            <w:pPr>
              <w:ind w:firstLine="480"/>
              <w:rPr>
                <w:color w:val="auto"/>
              </w:rPr>
            </w:pPr>
            <w:r>
              <w:rPr>
                <w:color w:val="auto"/>
              </w:rPr>
              <w:t>外购食糖进厂后，对其外观、质量、包装完整性及合格证明等进行验收，验收不合格的原料退回供应商或作为不合格原料处置。</w:t>
            </w:r>
          </w:p>
          <w:p w14:paraId="53F04043">
            <w:pPr>
              <w:ind w:firstLine="480"/>
              <w:rPr>
                <w:color w:val="auto"/>
              </w:rPr>
            </w:pPr>
            <w:r>
              <w:rPr>
                <w:color w:val="auto"/>
              </w:rPr>
              <w:t>验收合格的食糖进入包装设备，按照产品规格进行计量、分装、封口和喷码。投料、分装过程产生少量颗粒物、废包装材料及设备噪声。</w:t>
            </w:r>
          </w:p>
          <w:p w14:paraId="5AC7870E">
            <w:pPr>
              <w:ind w:firstLine="480"/>
              <w:rPr>
                <w:color w:val="auto"/>
              </w:rPr>
            </w:pPr>
            <w:r>
              <w:rPr>
                <w:color w:val="auto"/>
              </w:rPr>
              <w:t>包装完成后，对产品净含量、包装密封性、标签及外观等进行检验。检验不合格产品作为固体废物处置，检验合格的产品入库待售。</w:t>
            </w:r>
          </w:p>
          <w:p w14:paraId="274477BB">
            <w:pPr>
              <w:ind w:firstLine="482"/>
              <w:rPr>
                <w:color w:val="auto"/>
              </w:rPr>
            </w:pPr>
            <w:r>
              <w:rPr>
                <w:rFonts w:hint="eastAsia"/>
                <w:b/>
                <w:bCs/>
                <w:color w:val="auto"/>
              </w:rPr>
              <w:t>2、主要产污环节及治理措施</w:t>
            </w:r>
          </w:p>
          <w:p w14:paraId="08B21827">
            <w:pPr>
              <w:ind w:firstLine="480"/>
              <w:rPr>
                <w:color w:val="auto"/>
              </w:rPr>
            </w:pPr>
            <w:r>
              <w:rPr>
                <w:rFonts w:hint="eastAsia"/>
                <w:color w:val="auto"/>
              </w:rPr>
              <w:t>根据生产工艺及产污分析，项目运营过程中主要污染工序见下表：</w:t>
            </w:r>
          </w:p>
          <w:p w14:paraId="33555421">
            <w:pPr>
              <w:pStyle w:val="35"/>
              <w:rPr>
                <w:rFonts w:hint="default"/>
                <w:color w:val="auto"/>
              </w:rPr>
            </w:pPr>
            <w:r>
              <w:rPr>
                <w:color w:val="auto"/>
              </w:rPr>
              <w:t>表2-7 项目主要产污环节和排污特征一览表</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892"/>
              <w:gridCol w:w="2021"/>
              <w:gridCol w:w="3377"/>
            </w:tblGrid>
            <w:tr w14:paraId="5FF725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tcBorders>
                    <w:tl2br w:val="nil"/>
                    <w:tr2bl w:val="nil"/>
                  </w:tcBorders>
                  <w:vAlign w:val="center"/>
                </w:tcPr>
                <w:p w14:paraId="6B894629">
                  <w:pPr>
                    <w:pStyle w:val="33"/>
                    <w:rPr>
                      <w:color w:val="auto"/>
                    </w:rPr>
                  </w:pPr>
                  <w:r>
                    <w:rPr>
                      <w:rFonts w:hint="eastAsia"/>
                      <w:color w:val="auto"/>
                    </w:rPr>
                    <w:t>类别</w:t>
                  </w:r>
                </w:p>
              </w:tc>
              <w:tc>
                <w:tcPr>
                  <w:tcW w:w="1164" w:type="pct"/>
                  <w:tcBorders>
                    <w:tl2br w:val="nil"/>
                    <w:tr2bl w:val="nil"/>
                  </w:tcBorders>
                  <w:vAlign w:val="center"/>
                </w:tcPr>
                <w:p w14:paraId="0C557A60">
                  <w:pPr>
                    <w:pStyle w:val="33"/>
                    <w:rPr>
                      <w:color w:val="auto"/>
                    </w:rPr>
                  </w:pPr>
                  <w:r>
                    <w:rPr>
                      <w:rFonts w:hint="eastAsia"/>
                      <w:color w:val="auto"/>
                    </w:rPr>
                    <w:t>产污环节</w:t>
                  </w:r>
                </w:p>
              </w:tc>
              <w:tc>
                <w:tcPr>
                  <w:tcW w:w="1243" w:type="pct"/>
                  <w:tcBorders>
                    <w:tl2br w:val="nil"/>
                    <w:tr2bl w:val="nil"/>
                  </w:tcBorders>
                  <w:vAlign w:val="center"/>
                </w:tcPr>
                <w:p w14:paraId="46446282">
                  <w:pPr>
                    <w:pStyle w:val="33"/>
                    <w:rPr>
                      <w:color w:val="auto"/>
                    </w:rPr>
                  </w:pPr>
                  <w:r>
                    <w:rPr>
                      <w:rFonts w:hint="eastAsia"/>
                      <w:color w:val="auto"/>
                    </w:rPr>
                    <w:t>污染因子</w:t>
                  </w:r>
                </w:p>
              </w:tc>
              <w:tc>
                <w:tcPr>
                  <w:tcW w:w="2077" w:type="pct"/>
                  <w:tcBorders>
                    <w:tl2br w:val="nil"/>
                    <w:tr2bl w:val="nil"/>
                  </w:tcBorders>
                  <w:vAlign w:val="center"/>
                </w:tcPr>
                <w:p w14:paraId="4883E074">
                  <w:pPr>
                    <w:pStyle w:val="33"/>
                    <w:rPr>
                      <w:rFonts w:hint="default" w:eastAsia="宋体"/>
                      <w:color w:val="auto"/>
                      <w:lang w:val="en-US" w:eastAsia="zh-CN"/>
                    </w:rPr>
                  </w:pPr>
                  <w:r>
                    <w:rPr>
                      <w:rFonts w:hint="eastAsia"/>
                      <w:color w:val="auto"/>
                    </w:rPr>
                    <w:t>治理措施</w:t>
                  </w:r>
                  <w:r>
                    <w:rPr>
                      <w:rFonts w:hint="eastAsia"/>
                      <w:color w:val="auto"/>
                      <w:lang w:val="en-US" w:eastAsia="zh-CN"/>
                    </w:rPr>
                    <w:t>及排放方式</w:t>
                  </w:r>
                </w:p>
              </w:tc>
            </w:tr>
            <w:tr w14:paraId="77E06B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restart"/>
                  <w:tcBorders>
                    <w:tl2br w:val="nil"/>
                    <w:tr2bl w:val="nil"/>
                  </w:tcBorders>
                  <w:vAlign w:val="center"/>
                </w:tcPr>
                <w:p w14:paraId="27681765">
                  <w:pPr>
                    <w:pStyle w:val="33"/>
                    <w:rPr>
                      <w:color w:val="auto"/>
                    </w:rPr>
                  </w:pPr>
                  <w:r>
                    <w:rPr>
                      <w:rFonts w:hint="eastAsia"/>
                      <w:color w:val="auto"/>
                    </w:rPr>
                    <w:t>废气</w:t>
                  </w:r>
                </w:p>
              </w:tc>
              <w:tc>
                <w:tcPr>
                  <w:tcW w:w="1164" w:type="pct"/>
                  <w:tcBorders>
                    <w:tl2br w:val="nil"/>
                    <w:tr2bl w:val="nil"/>
                  </w:tcBorders>
                  <w:vAlign w:val="center"/>
                </w:tcPr>
                <w:p w14:paraId="5F56459F">
                  <w:pPr>
                    <w:pStyle w:val="33"/>
                    <w:rPr>
                      <w:color w:val="auto"/>
                    </w:rPr>
                  </w:pPr>
                  <w:r>
                    <w:rPr>
                      <w:rFonts w:hint="eastAsia"/>
                      <w:color w:val="auto"/>
                    </w:rPr>
                    <w:t>G1 粉碎</w:t>
                  </w:r>
                </w:p>
              </w:tc>
              <w:tc>
                <w:tcPr>
                  <w:tcW w:w="1243" w:type="pct"/>
                  <w:tcBorders>
                    <w:tl2br w:val="nil"/>
                    <w:tr2bl w:val="nil"/>
                  </w:tcBorders>
                  <w:vAlign w:val="center"/>
                </w:tcPr>
                <w:p w14:paraId="0BB9CCFE">
                  <w:pPr>
                    <w:pStyle w:val="33"/>
                    <w:rPr>
                      <w:color w:val="auto"/>
                    </w:rPr>
                  </w:pPr>
                  <w:r>
                    <w:rPr>
                      <w:rFonts w:hint="eastAsia"/>
                      <w:color w:val="auto"/>
                    </w:rPr>
                    <w:t>颗粒物</w:t>
                  </w:r>
                </w:p>
              </w:tc>
              <w:tc>
                <w:tcPr>
                  <w:tcW w:w="2077" w:type="pct"/>
                  <w:tcBorders>
                    <w:tl2br w:val="nil"/>
                    <w:tr2bl w:val="nil"/>
                  </w:tcBorders>
                  <w:vAlign w:val="center"/>
                </w:tcPr>
                <w:p w14:paraId="71F9D2C9">
                  <w:pPr>
                    <w:pStyle w:val="33"/>
                    <w:rPr>
                      <w:color w:val="auto"/>
                    </w:rPr>
                  </w:pPr>
                  <w:r>
                    <w:rPr>
                      <w:color w:val="auto"/>
                    </w:rPr>
                    <w:t>破碎量较少，采用密闭式粉碎设备，粉碎过程保持设备密闭，出料时降低物料落差，并及时清扫车间积尘</w:t>
                  </w:r>
                </w:p>
              </w:tc>
            </w:tr>
            <w:tr w14:paraId="05C6B9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778D4724">
                  <w:pPr>
                    <w:pStyle w:val="33"/>
                    <w:rPr>
                      <w:color w:val="auto"/>
                    </w:rPr>
                  </w:pPr>
                </w:p>
              </w:tc>
              <w:tc>
                <w:tcPr>
                  <w:tcW w:w="1164" w:type="pct"/>
                  <w:tcBorders>
                    <w:tl2br w:val="nil"/>
                    <w:tr2bl w:val="nil"/>
                  </w:tcBorders>
                  <w:vAlign w:val="center"/>
                </w:tcPr>
                <w:p w14:paraId="01EF1982">
                  <w:pPr>
                    <w:pStyle w:val="33"/>
                    <w:rPr>
                      <w:color w:val="auto"/>
                    </w:rPr>
                  </w:pPr>
                  <w:r>
                    <w:rPr>
                      <w:rFonts w:hint="eastAsia"/>
                      <w:color w:val="auto"/>
                    </w:rPr>
                    <w:t>G2 投料、调配、混合</w:t>
                  </w:r>
                </w:p>
              </w:tc>
              <w:tc>
                <w:tcPr>
                  <w:tcW w:w="1243" w:type="pct"/>
                  <w:tcBorders>
                    <w:tl2br w:val="nil"/>
                    <w:tr2bl w:val="nil"/>
                  </w:tcBorders>
                  <w:vAlign w:val="center"/>
                </w:tcPr>
                <w:p w14:paraId="4CB23338">
                  <w:pPr>
                    <w:pStyle w:val="33"/>
                    <w:rPr>
                      <w:color w:val="auto"/>
                    </w:rPr>
                  </w:pPr>
                  <w:r>
                    <w:rPr>
                      <w:rFonts w:hint="eastAsia"/>
                      <w:color w:val="auto"/>
                    </w:rPr>
                    <w:t>颗粒物</w:t>
                  </w:r>
                </w:p>
              </w:tc>
              <w:tc>
                <w:tcPr>
                  <w:tcW w:w="2077" w:type="pct"/>
                  <w:tcBorders>
                    <w:tl2br w:val="nil"/>
                    <w:tr2bl w:val="nil"/>
                  </w:tcBorders>
                  <w:vAlign w:val="center"/>
                </w:tcPr>
                <w:p w14:paraId="6B63BE84">
                  <w:pPr>
                    <w:pStyle w:val="33"/>
                    <w:rPr>
                      <w:color w:val="auto"/>
                    </w:rPr>
                  </w:pPr>
                  <w:r>
                    <w:rPr>
                      <w:color w:val="auto"/>
                    </w:rPr>
                    <w:t>采用人工缓慢投料、降低投料高度，混合设备运行时保持密闭，及时清理散落物料</w:t>
                  </w:r>
                </w:p>
              </w:tc>
            </w:tr>
            <w:tr w14:paraId="38672D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33D2E7FB">
                  <w:pPr>
                    <w:pStyle w:val="33"/>
                    <w:rPr>
                      <w:color w:val="auto"/>
                    </w:rPr>
                  </w:pPr>
                </w:p>
              </w:tc>
              <w:tc>
                <w:tcPr>
                  <w:tcW w:w="1164" w:type="pct"/>
                  <w:tcBorders>
                    <w:tl2br w:val="nil"/>
                    <w:tr2bl w:val="nil"/>
                  </w:tcBorders>
                  <w:vAlign w:val="center"/>
                </w:tcPr>
                <w:p w14:paraId="3D1A6159">
                  <w:pPr>
                    <w:pStyle w:val="33"/>
                    <w:rPr>
                      <w:color w:val="auto"/>
                    </w:rPr>
                  </w:pPr>
                  <w:r>
                    <w:rPr>
                      <w:rFonts w:hint="eastAsia"/>
                      <w:color w:val="auto"/>
                    </w:rPr>
                    <w:t>G3 制粒、干燥</w:t>
                  </w:r>
                </w:p>
              </w:tc>
              <w:tc>
                <w:tcPr>
                  <w:tcW w:w="1243" w:type="pct"/>
                  <w:tcBorders>
                    <w:tl2br w:val="nil"/>
                    <w:tr2bl w:val="nil"/>
                  </w:tcBorders>
                  <w:vAlign w:val="center"/>
                </w:tcPr>
                <w:p w14:paraId="38157304">
                  <w:pPr>
                    <w:pStyle w:val="33"/>
                    <w:rPr>
                      <w:color w:val="auto"/>
                    </w:rPr>
                  </w:pPr>
                  <w:r>
                    <w:rPr>
                      <w:color w:val="auto"/>
                    </w:rPr>
                    <w:t>颗粒物</w:t>
                  </w:r>
                </w:p>
              </w:tc>
              <w:tc>
                <w:tcPr>
                  <w:tcW w:w="2077" w:type="pct"/>
                  <w:tcBorders>
                    <w:tl2br w:val="nil"/>
                    <w:tr2bl w:val="nil"/>
                  </w:tcBorders>
                  <w:vAlign w:val="center"/>
                </w:tcPr>
                <w:p w14:paraId="29EA3892">
                  <w:pPr>
                    <w:pStyle w:val="33"/>
                    <w:rPr>
                      <w:color w:val="auto"/>
                    </w:rPr>
                  </w:pPr>
                  <w:r>
                    <w:rPr>
                      <w:color w:val="auto"/>
                    </w:rPr>
                    <w:t>制粒及电加热干燥设备密闭运行，减少进出料过程粉尘逸散，及时清扫车间</w:t>
                  </w:r>
                </w:p>
              </w:tc>
            </w:tr>
            <w:tr w14:paraId="02897A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6940C266">
                  <w:pPr>
                    <w:pStyle w:val="33"/>
                    <w:rPr>
                      <w:color w:val="auto"/>
                    </w:rPr>
                  </w:pPr>
                </w:p>
              </w:tc>
              <w:tc>
                <w:tcPr>
                  <w:tcW w:w="1164" w:type="pct"/>
                  <w:tcBorders>
                    <w:tl2br w:val="nil"/>
                    <w:tr2bl w:val="nil"/>
                  </w:tcBorders>
                  <w:vAlign w:val="center"/>
                </w:tcPr>
                <w:p w14:paraId="746EB970">
                  <w:pPr>
                    <w:pStyle w:val="33"/>
                    <w:rPr>
                      <w:color w:val="auto"/>
                    </w:rPr>
                  </w:pPr>
                  <w:r>
                    <w:rPr>
                      <w:rFonts w:hint="eastAsia"/>
                      <w:color w:val="auto"/>
                    </w:rPr>
                    <w:t>G4 固体产品分装、包装</w:t>
                  </w:r>
                </w:p>
              </w:tc>
              <w:tc>
                <w:tcPr>
                  <w:tcW w:w="1243" w:type="pct"/>
                  <w:tcBorders>
                    <w:tl2br w:val="nil"/>
                    <w:tr2bl w:val="nil"/>
                  </w:tcBorders>
                  <w:vAlign w:val="center"/>
                </w:tcPr>
                <w:p w14:paraId="56CCFD97">
                  <w:pPr>
                    <w:pStyle w:val="33"/>
                    <w:rPr>
                      <w:color w:val="auto"/>
                    </w:rPr>
                  </w:pPr>
                  <w:r>
                    <w:rPr>
                      <w:rFonts w:hint="eastAsia"/>
                      <w:color w:val="auto"/>
                    </w:rPr>
                    <w:t>颗粒物</w:t>
                  </w:r>
                </w:p>
              </w:tc>
              <w:tc>
                <w:tcPr>
                  <w:tcW w:w="2077" w:type="pct"/>
                  <w:tcBorders>
                    <w:tl2br w:val="nil"/>
                    <w:tr2bl w:val="nil"/>
                  </w:tcBorders>
                  <w:vAlign w:val="center"/>
                </w:tcPr>
                <w:p w14:paraId="11296618">
                  <w:pPr>
                    <w:pStyle w:val="33"/>
                    <w:rPr>
                      <w:color w:val="auto"/>
                    </w:rPr>
                  </w:pPr>
                  <w:r>
                    <w:rPr>
                      <w:color w:val="auto"/>
                    </w:rPr>
                    <w:t>包装设备尽量密闭运行，控制落料高度，加强车间清洁管理</w:t>
                  </w:r>
                </w:p>
              </w:tc>
            </w:tr>
            <w:tr w14:paraId="27E622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6F1F44A3">
                  <w:pPr>
                    <w:pStyle w:val="33"/>
                    <w:rPr>
                      <w:color w:val="auto"/>
                    </w:rPr>
                  </w:pPr>
                </w:p>
              </w:tc>
              <w:tc>
                <w:tcPr>
                  <w:tcW w:w="1164" w:type="pct"/>
                  <w:tcBorders>
                    <w:tl2br w:val="nil"/>
                    <w:tr2bl w:val="nil"/>
                  </w:tcBorders>
                  <w:vAlign w:val="center"/>
                </w:tcPr>
                <w:p w14:paraId="1D991CB4">
                  <w:pPr>
                    <w:pStyle w:val="33"/>
                    <w:rPr>
                      <w:color w:val="auto"/>
                    </w:rPr>
                  </w:pPr>
                  <w:r>
                    <w:rPr>
                      <w:rFonts w:hint="eastAsia"/>
                      <w:color w:val="auto"/>
                    </w:rPr>
                    <w:t>G5 熟制、炒制</w:t>
                  </w:r>
                </w:p>
              </w:tc>
              <w:tc>
                <w:tcPr>
                  <w:tcW w:w="1243" w:type="pct"/>
                  <w:tcBorders>
                    <w:tl2br w:val="nil"/>
                    <w:tr2bl w:val="nil"/>
                  </w:tcBorders>
                  <w:vAlign w:val="center"/>
                </w:tcPr>
                <w:p w14:paraId="15EED6C5">
                  <w:pPr>
                    <w:pStyle w:val="33"/>
                    <w:rPr>
                      <w:rFonts w:hint="default" w:eastAsia="宋体"/>
                      <w:color w:val="auto"/>
                      <w:lang w:val="en-US" w:eastAsia="zh-CN"/>
                    </w:rPr>
                  </w:pPr>
                  <w:r>
                    <w:rPr>
                      <w:rFonts w:hint="eastAsia"/>
                      <w:color w:val="auto"/>
                    </w:rPr>
                    <w:t>油烟、</w:t>
                  </w:r>
                  <w:r>
                    <w:rPr>
                      <w:rFonts w:hint="eastAsia"/>
                      <w:color w:val="auto"/>
                      <w:lang w:val="en-US" w:eastAsia="zh-CN"/>
                    </w:rPr>
                    <w:t>食品加工异味</w:t>
                  </w:r>
                </w:p>
              </w:tc>
              <w:tc>
                <w:tcPr>
                  <w:tcW w:w="2077" w:type="pct"/>
                  <w:tcBorders>
                    <w:tl2br w:val="nil"/>
                    <w:tr2bl w:val="nil"/>
                  </w:tcBorders>
                  <w:vAlign w:val="center"/>
                </w:tcPr>
                <w:p w14:paraId="06B211F2">
                  <w:pPr>
                    <w:pStyle w:val="33"/>
                    <w:rPr>
                      <w:rFonts w:hint="eastAsia" w:eastAsia="宋体"/>
                      <w:color w:val="auto"/>
                      <w:lang w:eastAsia="zh-CN"/>
                    </w:rPr>
                  </w:pPr>
                  <w:r>
                    <w:rPr>
                      <w:color w:val="auto"/>
                    </w:rPr>
                    <w:t>在熬制、炒制设备上方设置集气罩，废气经油烟净化设施处理</w:t>
                  </w:r>
                  <w:r>
                    <w:rPr>
                      <w:rFonts w:hint="eastAsia"/>
                      <w:color w:val="auto"/>
                      <w:lang w:eastAsia="zh-CN"/>
                    </w:rPr>
                    <w:t>，处理后汇入18m高排气筒DA001有组织排放</w:t>
                  </w:r>
                </w:p>
              </w:tc>
            </w:tr>
            <w:tr w14:paraId="1CCAF5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42BD1F9C">
                  <w:pPr>
                    <w:pStyle w:val="33"/>
                    <w:rPr>
                      <w:color w:val="auto"/>
                    </w:rPr>
                  </w:pPr>
                </w:p>
              </w:tc>
              <w:tc>
                <w:tcPr>
                  <w:tcW w:w="1164" w:type="pct"/>
                  <w:tcBorders>
                    <w:tl2br w:val="nil"/>
                    <w:tr2bl w:val="nil"/>
                  </w:tcBorders>
                  <w:vAlign w:val="center"/>
                </w:tcPr>
                <w:p w14:paraId="6C727125">
                  <w:pPr>
                    <w:pStyle w:val="33"/>
                    <w:rPr>
                      <w:color w:val="auto"/>
                    </w:rPr>
                  </w:pPr>
                  <w:r>
                    <w:rPr>
                      <w:rFonts w:hint="eastAsia"/>
                      <w:color w:val="auto"/>
                    </w:rPr>
                    <w:t>G6 天然气燃烧</w:t>
                  </w:r>
                </w:p>
              </w:tc>
              <w:tc>
                <w:tcPr>
                  <w:tcW w:w="1243" w:type="pct"/>
                  <w:tcBorders>
                    <w:tl2br w:val="nil"/>
                    <w:tr2bl w:val="nil"/>
                  </w:tcBorders>
                  <w:vAlign w:val="center"/>
                </w:tcPr>
                <w:p w14:paraId="7D6B9199">
                  <w:pPr>
                    <w:pStyle w:val="33"/>
                    <w:rPr>
                      <w:color w:val="auto"/>
                    </w:rPr>
                  </w:pPr>
                  <w:r>
                    <w:rPr>
                      <w:rFonts w:hint="eastAsia"/>
                      <w:color w:val="auto"/>
                    </w:rPr>
                    <w:t>颗粒物、SO</w:t>
                  </w:r>
                  <w:r>
                    <w:rPr>
                      <w:rFonts w:hint="eastAsia"/>
                      <w:color w:val="auto"/>
                      <w:vertAlign w:val="subscript"/>
                    </w:rPr>
                    <w:t>2</w:t>
                  </w:r>
                  <w:r>
                    <w:rPr>
                      <w:rFonts w:hint="eastAsia"/>
                      <w:color w:val="auto"/>
                    </w:rPr>
                    <w:t>、NOx</w:t>
                  </w:r>
                </w:p>
              </w:tc>
              <w:tc>
                <w:tcPr>
                  <w:tcW w:w="2077" w:type="pct"/>
                  <w:tcBorders>
                    <w:tl2br w:val="nil"/>
                    <w:tr2bl w:val="nil"/>
                  </w:tcBorders>
                  <w:vAlign w:val="center"/>
                </w:tcPr>
                <w:p w14:paraId="22BD8FD9">
                  <w:pPr>
                    <w:pStyle w:val="33"/>
                    <w:rPr>
                      <w:rFonts w:hint="eastAsia" w:eastAsia="宋体"/>
                      <w:color w:val="auto"/>
                      <w:lang w:eastAsia="zh-CN"/>
                    </w:rPr>
                  </w:pPr>
                  <w:r>
                    <w:rPr>
                      <w:color w:val="auto"/>
                    </w:rPr>
                    <w:t>天然气燃烧废气由设备上方集气罩随油烟、异味一并收集</w:t>
                  </w:r>
                  <w:r>
                    <w:rPr>
                      <w:rFonts w:hint="eastAsia"/>
                      <w:color w:val="auto"/>
                      <w:lang w:eastAsia="zh-CN"/>
                    </w:rPr>
                    <w:t>经18m高排气筒DA001有组织排放</w:t>
                  </w:r>
                </w:p>
              </w:tc>
            </w:tr>
            <w:tr w14:paraId="4ED853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restart"/>
                  <w:tcBorders>
                    <w:tl2br w:val="nil"/>
                    <w:tr2bl w:val="nil"/>
                  </w:tcBorders>
                  <w:vAlign w:val="center"/>
                </w:tcPr>
                <w:p w14:paraId="3139F5D0">
                  <w:pPr>
                    <w:pStyle w:val="33"/>
                    <w:rPr>
                      <w:color w:val="auto"/>
                    </w:rPr>
                  </w:pPr>
                  <w:r>
                    <w:rPr>
                      <w:rFonts w:hint="eastAsia"/>
                      <w:color w:val="auto"/>
                    </w:rPr>
                    <w:t>废水</w:t>
                  </w:r>
                </w:p>
              </w:tc>
              <w:tc>
                <w:tcPr>
                  <w:tcW w:w="1164" w:type="pct"/>
                  <w:tcBorders>
                    <w:tl2br w:val="nil"/>
                    <w:tr2bl w:val="nil"/>
                  </w:tcBorders>
                  <w:vAlign w:val="center"/>
                </w:tcPr>
                <w:p w14:paraId="17980821">
                  <w:pPr>
                    <w:pStyle w:val="33"/>
                    <w:rPr>
                      <w:color w:val="auto"/>
                    </w:rPr>
                  </w:pPr>
                  <w:r>
                    <w:rPr>
                      <w:rFonts w:hint="eastAsia"/>
                      <w:color w:val="auto"/>
                    </w:rPr>
                    <w:t>职工生活</w:t>
                  </w:r>
                </w:p>
              </w:tc>
              <w:tc>
                <w:tcPr>
                  <w:tcW w:w="1243" w:type="pct"/>
                  <w:tcBorders>
                    <w:tl2br w:val="nil"/>
                    <w:tr2bl w:val="nil"/>
                  </w:tcBorders>
                  <w:vAlign w:val="center"/>
                </w:tcPr>
                <w:p w14:paraId="3E7C8C1E">
                  <w:pPr>
                    <w:pStyle w:val="33"/>
                    <w:rPr>
                      <w:color w:val="auto"/>
                    </w:rPr>
                  </w:pPr>
                  <w:r>
                    <w:rPr>
                      <w:color w:val="auto"/>
                    </w:rPr>
                    <w:t>COD</w:t>
                  </w:r>
                  <w:r>
                    <w:rPr>
                      <w:rFonts w:hint="eastAsia"/>
                      <w:color w:val="auto"/>
                      <w:lang w:val="en-US" w:eastAsia="zh-CN"/>
                    </w:rPr>
                    <w:t>cr</w:t>
                  </w:r>
                  <w:r>
                    <w:rPr>
                      <w:color w:val="auto"/>
                    </w:rPr>
                    <w:t>、BOD</w:t>
                  </w:r>
                  <w:r>
                    <w:rPr>
                      <w:rFonts w:hint="eastAsia"/>
                      <w:color w:val="auto"/>
                      <w:vertAlign w:val="subscript"/>
                    </w:rPr>
                    <w:t>5</w:t>
                  </w:r>
                  <w:r>
                    <w:rPr>
                      <w:color w:val="auto"/>
                    </w:rPr>
                    <w:t>、SS、NH</w:t>
                  </w:r>
                  <w:r>
                    <w:rPr>
                      <w:rFonts w:hint="eastAsia"/>
                      <w:color w:val="auto"/>
                      <w:vertAlign w:val="subscript"/>
                    </w:rPr>
                    <w:t>3</w:t>
                  </w:r>
                  <w:r>
                    <w:rPr>
                      <w:color w:val="auto"/>
                    </w:rPr>
                    <w:t>-N</w:t>
                  </w:r>
                </w:p>
              </w:tc>
              <w:tc>
                <w:tcPr>
                  <w:tcW w:w="2077" w:type="pct"/>
                  <w:tcBorders>
                    <w:tl2br w:val="nil"/>
                    <w:tr2bl w:val="nil"/>
                  </w:tcBorders>
                  <w:vAlign w:val="center"/>
                </w:tcPr>
                <w:p w14:paraId="4B18223B">
                  <w:pPr>
                    <w:pStyle w:val="33"/>
                    <w:rPr>
                      <w:color w:val="auto"/>
                    </w:rPr>
                  </w:pPr>
                  <w:r>
                    <w:rPr>
                      <w:color w:val="auto"/>
                    </w:rPr>
                    <w:t>经化粪池预处理达到接管要求后排入园区污水管网，进入新兴污水处理厂处理</w:t>
                  </w:r>
                </w:p>
              </w:tc>
            </w:tr>
            <w:tr w14:paraId="4AE9AA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5BFF895B">
                  <w:pPr>
                    <w:pStyle w:val="33"/>
                    <w:rPr>
                      <w:color w:val="auto"/>
                    </w:rPr>
                  </w:pPr>
                </w:p>
              </w:tc>
              <w:tc>
                <w:tcPr>
                  <w:tcW w:w="1164" w:type="pct"/>
                  <w:tcBorders>
                    <w:tl2br w:val="nil"/>
                    <w:tr2bl w:val="nil"/>
                  </w:tcBorders>
                  <w:vAlign w:val="center"/>
                </w:tcPr>
                <w:p w14:paraId="75455B98">
                  <w:pPr>
                    <w:pStyle w:val="33"/>
                    <w:rPr>
                      <w:color w:val="auto"/>
                    </w:rPr>
                  </w:pPr>
                  <w:r>
                    <w:rPr>
                      <w:color w:val="auto"/>
                    </w:rPr>
                    <w:t>W1 原料清洗</w:t>
                  </w:r>
                </w:p>
              </w:tc>
              <w:tc>
                <w:tcPr>
                  <w:tcW w:w="1243" w:type="pct"/>
                  <w:tcBorders>
                    <w:tl2br w:val="nil"/>
                    <w:tr2bl w:val="nil"/>
                  </w:tcBorders>
                  <w:vAlign w:val="center"/>
                </w:tcPr>
                <w:p w14:paraId="00D7D9DF">
                  <w:pPr>
                    <w:pStyle w:val="33"/>
                    <w:rPr>
                      <w:rFonts w:hint="default" w:eastAsia="宋体"/>
                      <w:color w:val="auto"/>
                      <w:lang w:val="en-US" w:eastAsia="zh-CN"/>
                    </w:rPr>
                  </w:pPr>
                  <w:r>
                    <w:rPr>
                      <w:color w:val="auto"/>
                    </w:rPr>
                    <w:t>COD</w:t>
                  </w:r>
                  <w:r>
                    <w:rPr>
                      <w:rFonts w:hint="eastAsia"/>
                      <w:color w:val="auto"/>
                      <w:lang w:val="en-US" w:eastAsia="zh-CN"/>
                    </w:rPr>
                    <w:t>cr</w:t>
                  </w:r>
                  <w:r>
                    <w:rPr>
                      <w:color w:val="auto"/>
                    </w:rPr>
                    <w:t>、BOD</w:t>
                  </w:r>
                  <w:r>
                    <w:rPr>
                      <w:rFonts w:hint="eastAsia"/>
                      <w:color w:val="auto"/>
                      <w:vertAlign w:val="subscript"/>
                    </w:rPr>
                    <w:t>5</w:t>
                  </w:r>
                  <w:r>
                    <w:rPr>
                      <w:color w:val="auto"/>
                    </w:rPr>
                    <w:t>、SS</w:t>
                  </w:r>
                  <w:r>
                    <w:rPr>
                      <w:rFonts w:hint="eastAsia"/>
                      <w:color w:val="auto"/>
                      <w:lang w:eastAsia="zh-CN"/>
                    </w:rPr>
                    <w:t>、</w:t>
                  </w:r>
                  <w:r>
                    <w:rPr>
                      <w:rFonts w:hint="eastAsia"/>
                      <w:color w:val="auto"/>
                      <w:lang w:val="en-US" w:eastAsia="zh-CN"/>
                    </w:rPr>
                    <w:t>NH</w:t>
                  </w:r>
                  <w:r>
                    <w:rPr>
                      <w:rFonts w:hint="eastAsia"/>
                      <w:color w:val="auto"/>
                      <w:vertAlign w:val="subscript"/>
                      <w:lang w:val="en-US" w:eastAsia="zh-CN"/>
                    </w:rPr>
                    <w:t>3</w:t>
                  </w:r>
                  <w:r>
                    <w:rPr>
                      <w:rFonts w:hint="eastAsia"/>
                      <w:color w:val="auto"/>
                      <w:lang w:val="en-US" w:eastAsia="zh-CN"/>
                    </w:rPr>
                    <w:t>-N</w:t>
                  </w:r>
                </w:p>
              </w:tc>
              <w:tc>
                <w:tcPr>
                  <w:tcW w:w="2077" w:type="pct"/>
                  <w:tcBorders>
                    <w:tl2br w:val="nil"/>
                    <w:tr2bl w:val="nil"/>
                  </w:tcBorders>
                  <w:vAlign w:val="center"/>
                </w:tcPr>
                <w:p w14:paraId="73CDF908">
                  <w:pPr>
                    <w:pStyle w:val="33"/>
                    <w:rPr>
                      <w:color w:val="auto"/>
                    </w:rPr>
                  </w:pPr>
                  <w:r>
                    <w:rPr>
                      <w:rFonts w:hint="eastAsia"/>
                      <w:color w:val="auto"/>
                      <w:lang w:eastAsia="zh-CN"/>
                    </w:rPr>
                    <w:t>经厂区自建污水处理设施“隔油沉淀+一体化A/O工艺”</w:t>
                  </w:r>
                  <w:r>
                    <w:rPr>
                      <w:color w:val="auto"/>
                    </w:rPr>
                    <w:t>处理后排入市政污水管网，进入新兴污水处理厂处理</w:t>
                  </w:r>
                </w:p>
              </w:tc>
            </w:tr>
            <w:tr w14:paraId="060A30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013D8022">
                  <w:pPr>
                    <w:pStyle w:val="33"/>
                    <w:rPr>
                      <w:color w:val="auto"/>
                    </w:rPr>
                  </w:pPr>
                </w:p>
              </w:tc>
              <w:tc>
                <w:tcPr>
                  <w:tcW w:w="1164" w:type="pct"/>
                  <w:tcBorders>
                    <w:tl2br w:val="nil"/>
                    <w:tr2bl w:val="nil"/>
                  </w:tcBorders>
                  <w:vAlign w:val="center"/>
                </w:tcPr>
                <w:p w14:paraId="2F695738">
                  <w:pPr>
                    <w:pStyle w:val="33"/>
                    <w:rPr>
                      <w:rFonts w:hint="default" w:eastAsia="宋体"/>
                      <w:color w:val="auto"/>
                      <w:lang w:val="en-US" w:eastAsia="zh-CN"/>
                    </w:rPr>
                  </w:pPr>
                  <w:r>
                    <w:rPr>
                      <w:rFonts w:hint="eastAsia"/>
                      <w:color w:val="auto"/>
                      <w:lang w:val="en-US" w:eastAsia="zh-CN"/>
                    </w:rPr>
                    <w:t>W2洗瓶废水</w:t>
                  </w:r>
                </w:p>
              </w:tc>
              <w:tc>
                <w:tcPr>
                  <w:tcW w:w="1243" w:type="pct"/>
                  <w:tcBorders>
                    <w:tl2br w:val="nil"/>
                    <w:tr2bl w:val="nil"/>
                  </w:tcBorders>
                  <w:vAlign w:val="center"/>
                </w:tcPr>
                <w:p w14:paraId="7743C207">
                  <w:pPr>
                    <w:pStyle w:val="33"/>
                    <w:rPr>
                      <w:color w:val="auto"/>
                    </w:rPr>
                  </w:pPr>
                  <w:r>
                    <w:rPr>
                      <w:color w:val="auto"/>
                    </w:rPr>
                    <w:t>COD</w:t>
                  </w:r>
                  <w:r>
                    <w:rPr>
                      <w:rFonts w:hint="eastAsia"/>
                      <w:color w:val="auto"/>
                      <w:lang w:val="en-US" w:eastAsia="zh-CN"/>
                    </w:rPr>
                    <w:t>cr</w:t>
                  </w:r>
                  <w:r>
                    <w:rPr>
                      <w:color w:val="auto"/>
                    </w:rPr>
                    <w:t>、BOD</w:t>
                  </w:r>
                  <w:r>
                    <w:rPr>
                      <w:rFonts w:hint="eastAsia"/>
                      <w:color w:val="auto"/>
                      <w:vertAlign w:val="subscript"/>
                    </w:rPr>
                    <w:t>5</w:t>
                  </w:r>
                  <w:r>
                    <w:rPr>
                      <w:color w:val="auto"/>
                    </w:rPr>
                    <w:t>、SS</w:t>
                  </w:r>
                  <w:r>
                    <w:rPr>
                      <w:rFonts w:hint="eastAsia"/>
                      <w:color w:val="auto"/>
                      <w:lang w:eastAsia="zh-CN"/>
                    </w:rPr>
                    <w:t>、</w:t>
                  </w:r>
                  <w:r>
                    <w:rPr>
                      <w:rFonts w:hint="eastAsia"/>
                      <w:color w:val="auto"/>
                      <w:lang w:val="en-US" w:eastAsia="zh-CN"/>
                    </w:rPr>
                    <w:t>NH</w:t>
                  </w:r>
                  <w:r>
                    <w:rPr>
                      <w:rFonts w:hint="eastAsia"/>
                      <w:color w:val="auto"/>
                      <w:vertAlign w:val="subscript"/>
                      <w:lang w:val="en-US" w:eastAsia="zh-CN"/>
                    </w:rPr>
                    <w:t>3</w:t>
                  </w:r>
                  <w:r>
                    <w:rPr>
                      <w:rFonts w:hint="eastAsia"/>
                      <w:color w:val="auto"/>
                      <w:lang w:val="en-US" w:eastAsia="zh-CN"/>
                    </w:rPr>
                    <w:t>-N</w:t>
                  </w:r>
                </w:p>
              </w:tc>
              <w:tc>
                <w:tcPr>
                  <w:tcW w:w="2077" w:type="pct"/>
                  <w:tcBorders>
                    <w:tl2br w:val="nil"/>
                    <w:tr2bl w:val="nil"/>
                  </w:tcBorders>
                  <w:vAlign w:val="center"/>
                </w:tcPr>
                <w:p w14:paraId="7D778535">
                  <w:pPr>
                    <w:pStyle w:val="33"/>
                    <w:rPr>
                      <w:color w:val="auto"/>
                    </w:rPr>
                  </w:pPr>
                  <w:r>
                    <w:rPr>
                      <w:color w:val="auto"/>
                    </w:rPr>
                    <w:t>经</w:t>
                  </w:r>
                  <w:r>
                    <w:rPr>
                      <w:rFonts w:hint="eastAsia"/>
                      <w:color w:val="auto"/>
                      <w:lang w:eastAsia="zh-CN"/>
                    </w:rPr>
                    <w:t>厂区自建污水处理设施“隔油沉淀+一体化A/O工艺”</w:t>
                  </w:r>
                  <w:r>
                    <w:rPr>
                      <w:color w:val="auto"/>
                    </w:rPr>
                    <w:t>处理达到接管要求后排入园区污水管网，进入新兴污水处理厂处理</w:t>
                  </w:r>
                </w:p>
              </w:tc>
            </w:tr>
            <w:tr w14:paraId="183734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500527F4">
                  <w:pPr>
                    <w:pStyle w:val="33"/>
                    <w:rPr>
                      <w:color w:val="auto"/>
                    </w:rPr>
                  </w:pPr>
                </w:p>
              </w:tc>
              <w:tc>
                <w:tcPr>
                  <w:tcW w:w="1164" w:type="pct"/>
                  <w:tcBorders>
                    <w:tl2br w:val="nil"/>
                    <w:tr2bl w:val="nil"/>
                  </w:tcBorders>
                  <w:shd w:val="clear" w:color="auto" w:fill="auto"/>
                  <w:vAlign w:val="center"/>
                </w:tcPr>
                <w:p w14:paraId="70DAACA1">
                  <w:pPr>
                    <w:pStyle w:val="33"/>
                    <w:ind w:firstLine="0" w:firstLineChars="0"/>
                    <w:rPr>
                      <w:rFonts w:ascii="Times New Roman" w:hAnsi="Times New Roman" w:eastAsia="宋体" w:cs="Times New Roman"/>
                      <w:color w:val="auto"/>
                      <w:kern w:val="0"/>
                      <w:sz w:val="21"/>
                      <w:szCs w:val="21"/>
                      <w:lang w:val="en-US" w:eastAsia="zh-CN" w:bidi="ar-SA"/>
                    </w:rPr>
                  </w:pPr>
                  <w:r>
                    <w:rPr>
                      <w:color w:val="auto"/>
                    </w:rPr>
                    <w:t>W</w:t>
                  </w:r>
                  <w:r>
                    <w:rPr>
                      <w:rFonts w:hint="eastAsia"/>
                      <w:color w:val="auto"/>
                      <w:lang w:val="en-US" w:eastAsia="zh-CN"/>
                    </w:rPr>
                    <w:t>3</w:t>
                  </w:r>
                  <w:r>
                    <w:rPr>
                      <w:color w:val="auto"/>
                    </w:rPr>
                    <w:t>设备及容器清洗</w:t>
                  </w:r>
                </w:p>
              </w:tc>
              <w:tc>
                <w:tcPr>
                  <w:tcW w:w="1243" w:type="pct"/>
                  <w:tcBorders>
                    <w:tl2br w:val="nil"/>
                    <w:tr2bl w:val="nil"/>
                  </w:tcBorders>
                  <w:shd w:val="clear" w:color="auto" w:fill="auto"/>
                  <w:vAlign w:val="center"/>
                </w:tcPr>
                <w:p w14:paraId="101D9966">
                  <w:pPr>
                    <w:pStyle w:val="33"/>
                    <w:ind w:firstLine="0" w:firstLineChars="0"/>
                    <w:rPr>
                      <w:rFonts w:ascii="Times New Roman" w:hAnsi="Times New Roman" w:eastAsia="宋体" w:cs="Times New Roman"/>
                      <w:color w:val="auto"/>
                      <w:kern w:val="0"/>
                      <w:sz w:val="21"/>
                      <w:szCs w:val="21"/>
                      <w:lang w:val="en-US" w:eastAsia="zh-CN" w:bidi="ar-SA"/>
                    </w:rPr>
                  </w:pPr>
                  <w:r>
                    <w:rPr>
                      <w:color w:val="auto"/>
                    </w:rPr>
                    <w:t>COD</w:t>
                  </w:r>
                  <w:r>
                    <w:rPr>
                      <w:rFonts w:hint="eastAsia"/>
                      <w:color w:val="auto"/>
                      <w:lang w:val="en-US" w:eastAsia="zh-CN"/>
                    </w:rPr>
                    <w:t>cr</w:t>
                  </w:r>
                  <w:r>
                    <w:rPr>
                      <w:color w:val="auto"/>
                    </w:rPr>
                    <w:t>、BOD</w:t>
                  </w:r>
                  <w:r>
                    <w:rPr>
                      <w:rFonts w:hint="eastAsia"/>
                      <w:color w:val="auto"/>
                      <w:vertAlign w:val="subscript"/>
                    </w:rPr>
                    <w:t>5</w:t>
                  </w:r>
                  <w:r>
                    <w:rPr>
                      <w:color w:val="auto"/>
                    </w:rPr>
                    <w:t>、SS、</w:t>
                  </w:r>
                  <w:r>
                    <w:rPr>
                      <w:rFonts w:hint="eastAsia"/>
                      <w:color w:val="auto"/>
                    </w:rPr>
                    <w:t>动植物油</w:t>
                  </w:r>
                </w:p>
              </w:tc>
              <w:tc>
                <w:tcPr>
                  <w:tcW w:w="2077" w:type="pct"/>
                  <w:tcBorders>
                    <w:tl2br w:val="nil"/>
                    <w:tr2bl w:val="nil"/>
                  </w:tcBorders>
                  <w:shd w:val="clear" w:color="auto" w:fill="auto"/>
                  <w:vAlign w:val="center"/>
                </w:tcPr>
                <w:p w14:paraId="5A9289BD">
                  <w:pPr>
                    <w:pStyle w:val="33"/>
                    <w:ind w:firstLine="0" w:firstLineChars="0"/>
                    <w:rPr>
                      <w:rFonts w:ascii="Times New Roman" w:hAnsi="Times New Roman" w:eastAsia="宋体" w:cs="Times New Roman"/>
                      <w:color w:val="auto"/>
                      <w:kern w:val="0"/>
                      <w:sz w:val="21"/>
                      <w:szCs w:val="21"/>
                      <w:lang w:val="en-US" w:eastAsia="zh-CN" w:bidi="ar-SA"/>
                    </w:rPr>
                  </w:pPr>
                  <w:r>
                    <w:rPr>
                      <w:rFonts w:hint="eastAsia"/>
                      <w:color w:val="auto"/>
                      <w:lang w:eastAsia="zh-CN"/>
                    </w:rPr>
                    <w:t>经厂区自建污水处理设施“隔油沉淀+一体化A/O工艺”</w:t>
                  </w:r>
                  <w:r>
                    <w:rPr>
                      <w:color w:val="auto"/>
                    </w:rPr>
                    <w:t>处理后排入市政污水管网，进入新兴污水处理厂处理</w:t>
                  </w:r>
                </w:p>
              </w:tc>
            </w:tr>
            <w:tr w14:paraId="7148CA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68379411">
                  <w:pPr>
                    <w:pStyle w:val="33"/>
                    <w:rPr>
                      <w:color w:val="auto"/>
                    </w:rPr>
                  </w:pPr>
                </w:p>
              </w:tc>
              <w:tc>
                <w:tcPr>
                  <w:tcW w:w="1164" w:type="pct"/>
                  <w:tcBorders>
                    <w:tl2br w:val="nil"/>
                    <w:tr2bl w:val="nil"/>
                  </w:tcBorders>
                  <w:vAlign w:val="center"/>
                </w:tcPr>
                <w:p w14:paraId="15DFB23C">
                  <w:pPr>
                    <w:pStyle w:val="33"/>
                    <w:rPr>
                      <w:color w:val="auto"/>
                    </w:rPr>
                  </w:pPr>
                  <w:r>
                    <w:rPr>
                      <w:color w:val="auto"/>
                    </w:rPr>
                    <w:t>W</w:t>
                  </w:r>
                  <w:r>
                    <w:rPr>
                      <w:rFonts w:hint="eastAsia"/>
                      <w:color w:val="auto"/>
                      <w:lang w:val="en-US" w:eastAsia="zh-CN"/>
                    </w:rPr>
                    <w:t>4</w:t>
                  </w:r>
                  <w:r>
                    <w:rPr>
                      <w:color w:val="auto"/>
                    </w:rPr>
                    <w:t xml:space="preserve"> 车间地面清洗</w:t>
                  </w:r>
                </w:p>
              </w:tc>
              <w:tc>
                <w:tcPr>
                  <w:tcW w:w="1243" w:type="pct"/>
                  <w:tcBorders>
                    <w:tl2br w:val="nil"/>
                    <w:tr2bl w:val="nil"/>
                  </w:tcBorders>
                  <w:shd w:val="clear" w:color="auto" w:fill="auto"/>
                  <w:vAlign w:val="center"/>
                </w:tcPr>
                <w:p w14:paraId="2933338F">
                  <w:pPr>
                    <w:pStyle w:val="33"/>
                    <w:ind w:firstLine="0" w:firstLineChars="0"/>
                    <w:rPr>
                      <w:rFonts w:ascii="Times New Roman" w:hAnsi="Times New Roman" w:eastAsia="宋体" w:cs="Times New Roman"/>
                      <w:color w:val="auto"/>
                      <w:kern w:val="0"/>
                      <w:sz w:val="21"/>
                      <w:szCs w:val="21"/>
                      <w:lang w:val="en-US" w:eastAsia="zh-CN" w:bidi="ar-SA"/>
                    </w:rPr>
                  </w:pPr>
                  <w:r>
                    <w:rPr>
                      <w:color w:val="auto"/>
                    </w:rPr>
                    <w:t>COD</w:t>
                  </w:r>
                  <w:r>
                    <w:rPr>
                      <w:rFonts w:hint="eastAsia"/>
                      <w:color w:val="auto"/>
                      <w:lang w:val="en-US" w:eastAsia="zh-CN"/>
                    </w:rPr>
                    <w:t>cr</w:t>
                  </w:r>
                  <w:r>
                    <w:rPr>
                      <w:color w:val="auto"/>
                    </w:rPr>
                    <w:t>、BOD</w:t>
                  </w:r>
                  <w:r>
                    <w:rPr>
                      <w:color w:val="auto"/>
                      <w:vertAlign w:val="subscript"/>
                    </w:rPr>
                    <w:t>5</w:t>
                  </w:r>
                  <w:r>
                    <w:rPr>
                      <w:color w:val="auto"/>
                    </w:rPr>
                    <w:t>、SS、动植物油</w:t>
                  </w:r>
                </w:p>
              </w:tc>
              <w:tc>
                <w:tcPr>
                  <w:tcW w:w="2077" w:type="pct"/>
                  <w:tcBorders>
                    <w:tl2br w:val="nil"/>
                    <w:tr2bl w:val="nil"/>
                  </w:tcBorders>
                  <w:shd w:val="clear" w:color="auto" w:fill="auto"/>
                  <w:vAlign w:val="center"/>
                </w:tcPr>
                <w:p w14:paraId="6A1C0062">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lang w:eastAsia="zh-CN"/>
                    </w:rPr>
                    <w:t>经厂区自建污水处理设施“隔油沉淀+一体化A/O工艺”</w:t>
                  </w:r>
                  <w:r>
                    <w:rPr>
                      <w:rFonts w:hint="eastAsia"/>
                      <w:color w:val="auto"/>
                    </w:rPr>
                    <w:t>处理后排入市政污水管网，进入新兴污水处理厂处理</w:t>
                  </w:r>
                </w:p>
              </w:tc>
            </w:tr>
            <w:tr w14:paraId="398DAF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tcBorders>
                    <w:tl2br w:val="nil"/>
                    <w:tr2bl w:val="nil"/>
                  </w:tcBorders>
                  <w:vAlign w:val="center"/>
                </w:tcPr>
                <w:p w14:paraId="18D3BE2C">
                  <w:pPr>
                    <w:pStyle w:val="33"/>
                    <w:rPr>
                      <w:color w:val="auto"/>
                    </w:rPr>
                  </w:pPr>
                  <w:r>
                    <w:rPr>
                      <w:rFonts w:hint="eastAsia"/>
                      <w:color w:val="auto"/>
                    </w:rPr>
                    <w:t>噪声</w:t>
                  </w:r>
                </w:p>
              </w:tc>
              <w:tc>
                <w:tcPr>
                  <w:tcW w:w="1164" w:type="pct"/>
                  <w:tcBorders>
                    <w:tl2br w:val="nil"/>
                    <w:tr2bl w:val="nil"/>
                  </w:tcBorders>
                  <w:vAlign w:val="center"/>
                </w:tcPr>
                <w:p w14:paraId="0E33585B">
                  <w:pPr>
                    <w:pStyle w:val="33"/>
                    <w:rPr>
                      <w:color w:val="auto"/>
                    </w:rPr>
                  </w:pPr>
                  <w:r>
                    <w:rPr>
                      <w:rFonts w:hint="eastAsia"/>
                      <w:color w:val="auto"/>
                    </w:rPr>
                    <w:t>设备运行</w:t>
                  </w:r>
                </w:p>
              </w:tc>
              <w:tc>
                <w:tcPr>
                  <w:tcW w:w="1243" w:type="pct"/>
                  <w:tcBorders>
                    <w:tl2br w:val="nil"/>
                    <w:tr2bl w:val="nil"/>
                  </w:tcBorders>
                  <w:vAlign w:val="center"/>
                </w:tcPr>
                <w:p w14:paraId="62D161A4">
                  <w:pPr>
                    <w:pStyle w:val="33"/>
                    <w:rPr>
                      <w:color w:val="auto"/>
                    </w:rPr>
                  </w:pPr>
                  <w:r>
                    <w:rPr>
                      <w:rFonts w:hint="eastAsia"/>
                      <w:color w:val="auto"/>
                    </w:rPr>
                    <w:t>Leq（A）</w:t>
                  </w:r>
                </w:p>
              </w:tc>
              <w:tc>
                <w:tcPr>
                  <w:tcW w:w="2077" w:type="pct"/>
                  <w:tcBorders>
                    <w:tl2br w:val="nil"/>
                    <w:tr2bl w:val="nil"/>
                  </w:tcBorders>
                  <w:vAlign w:val="center"/>
                </w:tcPr>
                <w:p w14:paraId="159BAE77">
                  <w:pPr>
                    <w:pStyle w:val="33"/>
                    <w:rPr>
                      <w:color w:val="auto"/>
                    </w:rPr>
                  </w:pPr>
                  <w:r>
                    <w:rPr>
                      <w:color w:val="auto"/>
                    </w:rPr>
                    <w:t>选用低噪声设备，采用隔声、减震降噪措施</w:t>
                  </w:r>
                </w:p>
              </w:tc>
            </w:tr>
            <w:tr w14:paraId="348992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restart"/>
                  <w:tcBorders>
                    <w:tl2br w:val="nil"/>
                    <w:tr2bl w:val="nil"/>
                  </w:tcBorders>
                  <w:vAlign w:val="center"/>
                </w:tcPr>
                <w:p w14:paraId="0BA512A5">
                  <w:pPr>
                    <w:pStyle w:val="33"/>
                    <w:rPr>
                      <w:color w:val="auto"/>
                    </w:rPr>
                  </w:pPr>
                  <w:r>
                    <w:rPr>
                      <w:rFonts w:hint="eastAsia"/>
                      <w:color w:val="auto"/>
                    </w:rPr>
                    <w:t>固体废物</w:t>
                  </w:r>
                </w:p>
              </w:tc>
              <w:tc>
                <w:tcPr>
                  <w:tcW w:w="1164" w:type="pct"/>
                  <w:tcBorders>
                    <w:tl2br w:val="nil"/>
                    <w:tr2bl w:val="nil"/>
                  </w:tcBorders>
                  <w:vAlign w:val="center"/>
                </w:tcPr>
                <w:p w14:paraId="56C8EAFA">
                  <w:pPr>
                    <w:pStyle w:val="33"/>
                    <w:rPr>
                      <w:color w:val="auto"/>
                    </w:rPr>
                  </w:pPr>
                  <w:r>
                    <w:rPr>
                      <w:rFonts w:hint="eastAsia"/>
                      <w:color w:val="auto"/>
                    </w:rPr>
                    <w:t>S1 原料验收、预处理</w:t>
                  </w:r>
                </w:p>
              </w:tc>
              <w:tc>
                <w:tcPr>
                  <w:tcW w:w="1243" w:type="pct"/>
                  <w:tcBorders>
                    <w:tl2br w:val="nil"/>
                    <w:tr2bl w:val="nil"/>
                  </w:tcBorders>
                  <w:vAlign w:val="center"/>
                </w:tcPr>
                <w:p w14:paraId="74EB6B02">
                  <w:pPr>
                    <w:pStyle w:val="33"/>
                    <w:rPr>
                      <w:color w:val="auto"/>
                    </w:rPr>
                  </w:pPr>
                  <w:r>
                    <w:rPr>
                      <w:rFonts w:hint="eastAsia"/>
                      <w:color w:val="auto"/>
                    </w:rPr>
                    <w:t>不合格原料、原料杂质</w:t>
                  </w:r>
                </w:p>
              </w:tc>
              <w:tc>
                <w:tcPr>
                  <w:tcW w:w="2077" w:type="pct"/>
                  <w:tcBorders>
                    <w:tl2br w:val="nil"/>
                    <w:tr2bl w:val="nil"/>
                  </w:tcBorders>
                  <w:vAlign w:val="center"/>
                </w:tcPr>
                <w:p w14:paraId="0675250A">
                  <w:pPr>
                    <w:pStyle w:val="33"/>
                    <w:rPr>
                      <w:color w:val="auto"/>
                    </w:rPr>
                  </w:pPr>
                  <w:r>
                    <w:rPr>
                      <w:color w:val="auto"/>
                    </w:rPr>
                    <w:t>分类收集后暂存于一般固废暂存区，定期交由环卫部门或一般固废处置单位处理</w:t>
                  </w:r>
                </w:p>
              </w:tc>
            </w:tr>
            <w:tr w14:paraId="6A7DB6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1CCC9E7D">
                  <w:pPr>
                    <w:pStyle w:val="33"/>
                    <w:rPr>
                      <w:color w:val="auto"/>
                    </w:rPr>
                  </w:pPr>
                </w:p>
              </w:tc>
              <w:tc>
                <w:tcPr>
                  <w:tcW w:w="1164" w:type="pct"/>
                  <w:tcBorders>
                    <w:tl2br w:val="nil"/>
                    <w:tr2bl w:val="nil"/>
                  </w:tcBorders>
                  <w:vAlign w:val="center"/>
                </w:tcPr>
                <w:p w14:paraId="70E8D841">
                  <w:pPr>
                    <w:pStyle w:val="33"/>
                    <w:rPr>
                      <w:color w:val="auto"/>
                    </w:rPr>
                  </w:pPr>
                  <w:r>
                    <w:rPr>
                      <w:rFonts w:hint="eastAsia"/>
                      <w:color w:val="auto"/>
                    </w:rPr>
                    <w:t>S2 沉淀、过滤</w:t>
                  </w:r>
                </w:p>
              </w:tc>
              <w:tc>
                <w:tcPr>
                  <w:tcW w:w="1243" w:type="pct"/>
                  <w:tcBorders>
                    <w:tl2br w:val="nil"/>
                    <w:tr2bl w:val="nil"/>
                  </w:tcBorders>
                  <w:vAlign w:val="center"/>
                </w:tcPr>
                <w:p w14:paraId="2FBD3451">
                  <w:pPr>
                    <w:pStyle w:val="33"/>
                    <w:rPr>
                      <w:color w:val="auto"/>
                    </w:rPr>
                  </w:pPr>
                  <w:r>
                    <w:rPr>
                      <w:rFonts w:hint="eastAsia"/>
                      <w:color w:val="auto"/>
                    </w:rPr>
                    <w:t>食品残渣、含油过滤残渣</w:t>
                  </w:r>
                </w:p>
              </w:tc>
              <w:tc>
                <w:tcPr>
                  <w:tcW w:w="2077" w:type="pct"/>
                  <w:tcBorders>
                    <w:tl2br w:val="nil"/>
                    <w:tr2bl w:val="nil"/>
                  </w:tcBorders>
                  <w:vAlign w:val="center"/>
                </w:tcPr>
                <w:p w14:paraId="088CE743">
                  <w:pPr>
                    <w:pStyle w:val="33"/>
                    <w:rPr>
                      <w:color w:val="auto"/>
                    </w:rPr>
                  </w:pPr>
                  <w:r>
                    <w:rPr>
                      <w:rFonts w:hint="eastAsia"/>
                      <w:color w:val="auto"/>
                    </w:rPr>
                    <w:t>分类收集后暂存于一般固废暂存区，定期交由环卫部门或一般固废处置单位处理</w:t>
                  </w:r>
                </w:p>
              </w:tc>
            </w:tr>
            <w:tr w14:paraId="59ADF0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73CFD226">
                  <w:pPr>
                    <w:pStyle w:val="33"/>
                    <w:rPr>
                      <w:color w:val="auto"/>
                    </w:rPr>
                  </w:pPr>
                </w:p>
              </w:tc>
              <w:tc>
                <w:tcPr>
                  <w:tcW w:w="1164" w:type="pct"/>
                  <w:tcBorders>
                    <w:tl2br w:val="nil"/>
                    <w:tr2bl w:val="nil"/>
                  </w:tcBorders>
                  <w:vAlign w:val="center"/>
                </w:tcPr>
                <w:p w14:paraId="06BDE0BD">
                  <w:pPr>
                    <w:pStyle w:val="33"/>
                    <w:rPr>
                      <w:color w:val="auto"/>
                    </w:rPr>
                  </w:pPr>
                  <w:r>
                    <w:rPr>
                      <w:rFonts w:hint="eastAsia"/>
                      <w:color w:val="auto"/>
                    </w:rPr>
                    <w:t>S3 原辅料及产品包装</w:t>
                  </w:r>
                </w:p>
              </w:tc>
              <w:tc>
                <w:tcPr>
                  <w:tcW w:w="1243" w:type="pct"/>
                  <w:tcBorders>
                    <w:tl2br w:val="nil"/>
                    <w:tr2bl w:val="nil"/>
                  </w:tcBorders>
                  <w:vAlign w:val="center"/>
                </w:tcPr>
                <w:p w14:paraId="3D63598C">
                  <w:pPr>
                    <w:pStyle w:val="33"/>
                    <w:rPr>
                      <w:color w:val="auto"/>
                    </w:rPr>
                  </w:pPr>
                  <w:r>
                    <w:rPr>
                      <w:rFonts w:hint="eastAsia"/>
                      <w:color w:val="auto"/>
                    </w:rPr>
                    <w:t>废包装材料</w:t>
                  </w:r>
                </w:p>
              </w:tc>
              <w:tc>
                <w:tcPr>
                  <w:tcW w:w="2077" w:type="pct"/>
                  <w:tcBorders>
                    <w:tl2br w:val="nil"/>
                    <w:tr2bl w:val="nil"/>
                  </w:tcBorders>
                  <w:vAlign w:val="center"/>
                </w:tcPr>
                <w:p w14:paraId="276F341E">
                  <w:pPr>
                    <w:pStyle w:val="33"/>
                    <w:rPr>
                      <w:color w:val="auto"/>
                    </w:rPr>
                  </w:pPr>
                  <w:r>
                    <w:rPr>
                      <w:color w:val="auto"/>
                    </w:rPr>
                    <w:t>回收部分外售综合利用</w:t>
                  </w:r>
                </w:p>
              </w:tc>
            </w:tr>
            <w:tr w14:paraId="3170E9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00E57049">
                  <w:pPr>
                    <w:pStyle w:val="33"/>
                    <w:rPr>
                      <w:color w:val="auto"/>
                    </w:rPr>
                  </w:pPr>
                </w:p>
              </w:tc>
              <w:tc>
                <w:tcPr>
                  <w:tcW w:w="1164" w:type="pct"/>
                  <w:tcBorders>
                    <w:tl2br w:val="nil"/>
                    <w:tr2bl w:val="nil"/>
                  </w:tcBorders>
                  <w:vAlign w:val="center"/>
                </w:tcPr>
                <w:p w14:paraId="7D114F1F">
                  <w:pPr>
                    <w:pStyle w:val="33"/>
                    <w:rPr>
                      <w:color w:val="auto"/>
                    </w:rPr>
                  </w:pPr>
                  <w:r>
                    <w:rPr>
                      <w:rFonts w:hint="eastAsia"/>
                      <w:color w:val="auto"/>
                    </w:rPr>
                    <w:t>S4 产品检验</w:t>
                  </w:r>
                </w:p>
              </w:tc>
              <w:tc>
                <w:tcPr>
                  <w:tcW w:w="1243" w:type="pct"/>
                  <w:tcBorders>
                    <w:tl2br w:val="nil"/>
                    <w:tr2bl w:val="nil"/>
                  </w:tcBorders>
                  <w:vAlign w:val="center"/>
                </w:tcPr>
                <w:p w14:paraId="1C1557B8">
                  <w:pPr>
                    <w:pStyle w:val="33"/>
                    <w:rPr>
                      <w:color w:val="auto"/>
                    </w:rPr>
                  </w:pPr>
                  <w:r>
                    <w:rPr>
                      <w:rFonts w:hint="eastAsia"/>
                      <w:color w:val="auto"/>
                    </w:rPr>
                    <w:t>不合格产品</w:t>
                  </w:r>
                </w:p>
              </w:tc>
              <w:tc>
                <w:tcPr>
                  <w:tcW w:w="2077" w:type="pct"/>
                  <w:tcBorders>
                    <w:tl2br w:val="nil"/>
                    <w:tr2bl w:val="nil"/>
                  </w:tcBorders>
                  <w:vAlign w:val="center"/>
                </w:tcPr>
                <w:p w14:paraId="79D2EBCE">
                  <w:pPr>
                    <w:pStyle w:val="33"/>
                    <w:rPr>
                      <w:color w:val="auto"/>
                    </w:rPr>
                  </w:pPr>
                  <w:r>
                    <w:rPr>
                      <w:color w:val="auto"/>
                    </w:rPr>
                    <w:t>分类收集后暂存于一般固废暂存区，定期交由环卫部门或一般固废处置单位处理</w:t>
                  </w:r>
                </w:p>
              </w:tc>
            </w:tr>
            <w:tr w14:paraId="07365D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50FB758C">
                  <w:pPr>
                    <w:pStyle w:val="33"/>
                    <w:rPr>
                      <w:color w:val="auto"/>
                    </w:rPr>
                  </w:pPr>
                </w:p>
              </w:tc>
              <w:tc>
                <w:tcPr>
                  <w:tcW w:w="1164" w:type="pct"/>
                  <w:tcBorders>
                    <w:tl2br w:val="nil"/>
                    <w:tr2bl w:val="nil"/>
                  </w:tcBorders>
                  <w:vAlign w:val="center"/>
                </w:tcPr>
                <w:p w14:paraId="51456EA9">
                  <w:pPr>
                    <w:pStyle w:val="33"/>
                    <w:rPr>
                      <w:rFonts w:hint="eastAsia"/>
                      <w:color w:val="auto"/>
                    </w:rPr>
                  </w:pPr>
                  <w:r>
                    <w:rPr>
                      <w:rFonts w:hint="eastAsia"/>
                      <w:color w:val="auto"/>
                    </w:rPr>
                    <w:t>油烟净化设施运行</w:t>
                  </w:r>
                </w:p>
              </w:tc>
              <w:tc>
                <w:tcPr>
                  <w:tcW w:w="1243" w:type="pct"/>
                  <w:tcBorders>
                    <w:tl2br w:val="nil"/>
                    <w:tr2bl w:val="nil"/>
                  </w:tcBorders>
                  <w:vAlign w:val="center"/>
                </w:tcPr>
                <w:p w14:paraId="1B5062F0">
                  <w:pPr>
                    <w:pStyle w:val="33"/>
                    <w:rPr>
                      <w:rFonts w:hint="eastAsia"/>
                      <w:color w:val="auto"/>
                    </w:rPr>
                  </w:pPr>
                  <w:r>
                    <w:rPr>
                      <w:rFonts w:hint="eastAsia"/>
                      <w:color w:val="auto"/>
                    </w:rPr>
                    <w:t>收集废油脂</w:t>
                  </w:r>
                </w:p>
              </w:tc>
              <w:tc>
                <w:tcPr>
                  <w:tcW w:w="2077" w:type="pct"/>
                  <w:tcBorders>
                    <w:tl2br w:val="nil"/>
                    <w:tr2bl w:val="nil"/>
                  </w:tcBorders>
                  <w:vAlign w:val="center"/>
                </w:tcPr>
                <w:p w14:paraId="41A5F5F3">
                  <w:pPr>
                    <w:pStyle w:val="33"/>
                    <w:rPr>
                      <w:rFonts w:hint="eastAsia" w:eastAsia="宋体"/>
                      <w:color w:val="auto"/>
                      <w:lang w:eastAsia="zh-CN"/>
                    </w:rPr>
                  </w:pPr>
                  <w:r>
                    <w:rPr>
                      <w:color w:val="auto"/>
                    </w:rPr>
                    <w:t>采用密闭容器收集</w:t>
                  </w:r>
                  <w:r>
                    <w:rPr>
                      <w:rFonts w:hint="eastAsia"/>
                      <w:color w:val="auto"/>
                      <w:lang w:eastAsia="zh-CN"/>
                    </w:rPr>
                    <w:t>，委托具有相应处理能力的单位处置</w:t>
                  </w:r>
                </w:p>
              </w:tc>
            </w:tr>
            <w:tr w14:paraId="0640D5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1E2CAC94">
                  <w:pPr>
                    <w:pStyle w:val="33"/>
                    <w:rPr>
                      <w:color w:val="auto"/>
                    </w:rPr>
                  </w:pPr>
                </w:p>
              </w:tc>
              <w:tc>
                <w:tcPr>
                  <w:tcW w:w="1164" w:type="pct"/>
                  <w:tcBorders>
                    <w:tl2br w:val="nil"/>
                    <w:tr2bl w:val="nil"/>
                  </w:tcBorders>
                  <w:vAlign w:val="center"/>
                </w:tcPr>
                <w:p w14:paraId="6DE8DC15">
                  <w:pPr>
                    <w:pStyle w:val="33"/>
                    <w:rPr>
                      <w:color w:val="auto"/>
                    </w:rPr>
                  </w:pPr>
                  <w:r>
                    <w:rPr>
                      <w:rFonts w:hint="eastAsia"/>
                      <w:color w:val="auto"/>
                    </w:rPr>
                    <w:t>废水预处理及污水处理设施运行</w:t>
                  </w:r>
                </w:p>
              </w:tc>
              <w:tc>
                <w:tcPr>
                  <w:tcW w:w="1243" w:type="pct"/>
                  <w:tcBorders>
                    <w:tl2br w:val="nil"/>
                    <w:tr2bl w:val="nil"/>
                  </w:tcBorders>
                  <w:vAlign w:val="center"/>
                </w:tcPr>
                <w:p w14:paraId="194FFD3B">
                  <w:pPr>
                    <w:pStyle w:val="33"/>
                    <w:rPr>
                      <w:color w:val="auto"/>
                    </w:rPr>
                  </w:pPr>
                  <w:r>
                    <w:rPr>
                      <w:rFonts w:hint="eastAsia"/>
                      <w:color w:val="auto"/>
                    </w:rPr>
                    <w:t>隔油浮渣、沉淀物及污泥</w:t>
                  </w:r>
                </w:p>
              </w:tc>
              <w:tc>
                <w:tcPr>
                  <w:tcW w:w="2077" w:type="pct"/>
                  <w:tcBorders>
                    <w:tl2br w:val="nil"/>
                    <w:tr2bl w:val="nil"/>
                  </w:tcBorders>
                  <w:vAlign w:val="center"/>
                </w:tcPr>
                <w:p w14:paraId="2CB26D9E">
                  <w:pPr>
                    <w:pStyle w:val="33"/>
                    <w:rPr>
                      <w:rFonts w:hint="eastAsia" w:eastAsia="宋体"/>
                      <w:color w:val="auto"/>
                      <w:lang w:eastAsia="zh-CN"/>
                    </w:rPr>
                  </w:pPr>
                  <w:r>
                    <w:rPr>
                      <w:rFonts w:hint="eastAsia"/>
                      <w:color w:val="auto"/>
                    </w:rPr>
                    <w:t>定期清理，采用密闭容器收集并采取防渗措施</w:t>
                  </w:r>
                  <w:r>
                    <w:rPr>
                      <w:rFonts w:hint="eastAsia"/>
                      <w:color w:val="auto"/>
                      <w:lang w:eastAsia="zh-CN"/>
                    </w:rPr>
                    <w:t>，委托具有相应处理能力的单位处置</w:t>
                  </w:r>
                </w:p>
              </w:tc>
            </w:tr>
            <w:tr w14:paraId="47A044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0038361F">
                  <w:pPr>
                    <w:pStyle w:val="33"/>
                    <w:rPr>
                      <w:color w:val="auto"/>
                    </w:rPr>
                  </w:pPr>
                </w:p>
              </w:tc>
              <w:tc>
                <w:tcPr>
                  <w:tcW w:w="1164" w:type="pct"/>
                  <w:tcBorders>
                    <w:tl2br w:val="nil"/>
                    <w:tr2bl w:val="nil"/>
                  </w:tcBorders>
                  <w:vAlign w:val="center"/>
                </w:tcPr>
                <w:p w14:paraId="078103EE">
                  <w:pPr>
                    <w:pStyle w:val="33"/>
                    <w:rPr>
                      <w:color w:val="auto"/>
                    </w:rPr>
                  </w:pPr>
                  <w:r>
                    <w:rPr>
                      <w:rFonts w:hint="eastAsia"/>
                      <w:color w:val="auto"/>
                    </w:rPr>
                    <w:t>职工办公生活</w:t>
                  </w:r>
                </w:p>
              </w:tc>
              <w:tc>
                <w:tcPr>
                  <w:tcW w:w="1243" w:type="pct"/>
                  <w:tcBorders>
                    <w:tl2br w:val="nil"/>
                    <w:tr2bl w:val="nil"/>
                  </w:tcBorders>
                  <w:vAlign w:val="center"/>
                </w:tcPr>
                <w:p w14:paraId="7B806B92">
                  <w:pPr>
                    <w:pStyle w:val="33"/>
                    <w:rPr>
                      <w:color w:val="auto"/>
                    </w:rPr>
                  </w:pPr>
                  <w:r>
                    <w:rPr>
                      <w:rFonts w:hint="eastAsia"/>
                      <w:color w:val="auto"/>
                    </w:rPr>
                    <w:t>生活垃圾</w:t>
                  </w:r>
                </w:p>
              </w:tc>
              <w:tc>
                <w:tcPr>
                  <w:tcW w:w="2077" w:type="pct"/>
                  <w:tcBorders>
                    <w:tl2br w:val="nil"/>
                    <w:tr2bl w:val="nil"/>
                  </w:tcBorders>
                  <w:vAlign w:val="center"/>
                </w:tcPr>
                <w:p w14:paraId="08ABAB68">
                  <w:pPr>
                    <w:pStyle w:val="33"/>
                    <w:rPr>
                      <w:color w:val="auto"/>
                    </w:rPr>
                  </w:pPr>
                  <w:r>
                    <w:rPr>
                      <w:color w:val="auto"/>
                    </w:rPr>
                    <w:t>设置垃圾桶分类收集，由环卫部门统一清运</w:t>
                  </w:r>
                </w:p>
              </w:tc>
            </w:tr>
          </w:tbl>
          <w:p w14:paraId="289DEAF9">
            <w:pPr>
              <w:ind w:firstLine="0" w:firstLineChars="0"/>
              <w:rPr>
                <w:color w:val="auto"/>
              </w:rPr>
            </w:pPr>
          </w:p>
        </w:tc>
      </w:tr>
      <w:tr w14:paraId="2DDF4E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715" w:type="dxa"/>
            <w:vAlign w:val="center"/>
          </w:tcPr>
          <w:p w14:paraId="09B98CA9">
            <w:pPr>
              <w:pStyle w:val="13"/>
              <w:adjustRightInd w:val="0"/>
              <w:snapToGrid w:val="0"/>
              <w:spacing w:beforeAutospacing="0" w:afterAutospacing="0"/>
              <w:rPr>
                <w:rFonts w:hint="eastAsia" w:cs="宋体"/>
                <w:color w:val="auto"/>
                <w:szCs w:val="24"/>
              </w:rPr>
            </w:pPr>
            <w:r>
              <w:rPr>
                <w:rFonts w:hint="eastAsia" w:cs="宋体"/>
                <w:bCs/>
                <w:color w:val="auto"/>
                <w:kern w:val="2"/>
                <w:szCs w:val="24"/>
              </w:rPr>
              <w:t>与项目有关的原有环境污染问题</w:t>
            </w:r>
          </w:p>
        </w:tc>
        <w:tc>
          <w:tcPr>
            <w:tcW w:w="8345" w:type="dxa"/>
            <w:vAlign w:val="center"/>
          </w:tcPr>
          <w:p w14:paraId="2E55D529">
            <w:pPr>
              <w:pStyle w:val="7"/>
              <w:ind w:firstLine="0" w:firstLineChars="0"/>
              <w:jc w:val="center"/>
              <w:rPr>
                <w:color w:val="auto"/>
                <w:lang w:val="en-US"/>
              </w:rPr>
            </w:pPr>
            <w:r>
              <w:rPr>
                <w:rFonts w:hint="eastAsia"/>
                <w:color w:val="auto"/>
                <w:lang w:val="en-US"/>
              </w:rPr>
              <w:t>本项目为新建项目，无既有环境污染问题。</w:t>
            </w:r>
          </w:p>
        </w:tc>
      </w:tr>
    </w:tbl>
    <w:p w14:paraId="6ACD9EF8">
      <w:pPr>
        <w:pStyle w:val="13"/>
        <w:rPr>
          <w:rFonts w:hint="eastAsia" w:ascii="黑体" w:hAnsi="黑体" w:eastAsia="黑体"/>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6D588CD9">
      <w:pPr>
        <w:pStyle w:val="13"/>
        <w:spacing w:beforeAutospacing="0" w:afterAutospacing="0"/>
        <w:outlineLvl w:val="0"/>
        <w:rPr>
          <w:rFonts w:hint="eastAsia" w:ascii="黑体" w:hAnsi="黑体" w:eastAsia="黑体"/>
          <w:snapToGrid w:val="0"/>
          <w:color w:val="auto"/>
          <w:sz w:val="30"/>
          <w:szCs w:val="30"/>
        </w:rPr>
      </w:pPr>
      <w:bookmarkStart w:id="4" w:name="_Toc16311"/>
      <w:r>
        <w:rPr>
          <w:rFonts w:hint="eastAsia" w:ascii="黑体" w:hAnsi="黑体" w:eastAsia="黑体"/>
          <w:snapToGrid w:val="0"/>
          <w:color w:val="auto"/>
          <w:sz w:val="30"/>
          <w:szCs w:val="30"/>
        </w:rPr>
        <w:t>三、区域环境质量现状、环境保护目标及评价标准</w:t>
      </w:r>
      <w:bookmarkEnd w:id="4"/>
    </w:p>
    <w:tbl>
      <w:tblPr>
        <w:tblStyle w:val="16"/>
        <w:tblW w:w="90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64"/>
        <w:gridCol w:w="8493"/>
      </w:tblGrid>
      <w:tr w14:paraId="33E639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842" w:type="dxa"/>
            <w:vAlign w:val="center"/>
          </w:tcPr>
          <w:p w14:paraId="79204B4D">
            <w:pPr>
              <w:adjustRightInd w:val="0"/>
              <w:snapToGrid w:val="0"/>
              <w:ind w:firstLine="0" w:firstLineChars="0"/>
              <w:jc w:val="center"/>
              <w:rPr>
                <w:rFonts w:hint="eastAsia" w:ascii="宋体" w:hAnsi="宋体" w:cs="宋体"/>
                <w:color w:val="auto"/>
                <w:kern w:val="0"/>
                <w:szCs w:val="21"/>
              </w:rPr>
            </w:pPr>
            <w:r>
              <w:rPr>
                <w:rFonts w:hint="eastAsia" w:ascii="宋体" w:hAnsi="宋体" w:cs="宋体"/>
                <w:color w:val="auto"/>
                <w:kern w:val="0"/>
                <w:szCs w:val="21"/>
              </w:rPr>
              <w:t>区域环境质量现状</w:t>
            </w:r>
          </w:p>
        </w:tc>
        <w:tc>
          <w:tcPr>
            <w:tcW w:w="8215" w:type="dxa"/>
            <w:vAlign w:val="center"/>
          </w:tcPr>
          <w:p w14:paraId="66F5CD85">
            <w:pPr>
              <w:ind w:firstLine="458"/>
              <w:rPr>
                <w:color w:val="auto"/>
              </w:rPr>
            </w:pPr>
            <w:r>
              <w:rPr>
                <w:rFonts w:eastAsia="Times New Roman"/>
                <w:b/>
                <w:bCs/>
                <w:color w:val="auto"/>
                <w:spacing w:val="-6"/>
              </w:rPr>
              <w:t>1</w:t>
            </w:r>
            <w:r>
              <w:rPr>
                <w:b/>
                <w:bCs/>
                <w:color w:val="auto"/>
                <w:spacing w:val="-6"/>
              </w:rPr>
              <w:t>、大气环境质量现状</w:t>
            </w:r>
          </w:p>
          <w:p w14:paraId="7EDA4D97">
            <w:pPr>
              <w:ind w:firstLine="480"/>
              <w:rPr>
                <w:color w:val="auto"/>
              </w:rPr>
            </w:pPr>
            <w:r>
              <w:rPr>
                <w:color w:val="auto"/>
              </w:rPr>
              <w:t>项目位于</w:t>
            </w:r>
            <w:r>
              <w:rPr>
                <w:rFonts w:hint="eastAsia"/>
                <w:color w:val="auto"/>
              </w:rPr>
              <w:t>柳州市柳江区新兴工业园利业路30号1-1</w:t>
            </w:r>
            <w:r>
              <w:rPr>
                <w:color w:val="auto"/>
              </w:rPr>
              <w:t>，根据《环境空气质量标准》（GB3095-2012）及其2018年修改单中的二级标准</w:t>
            </w:r>
            <w:r>
              <w:rPr>
                <w:rFonts w:hint="eastAsia"/>
                <w:color w:val="auto"/>
              </w:rPr>
              <w:t>和《环境空气质量标准》（GB3095-2026）</w:t>
            </w:r>
            <w:r>
              <w:rPr>
                <w:color w:val="auto"/>
              </w:rPr>
              <w:t>，为二类功能区，执行二级标准。根据《202</w:t>
            </w:r>
            <w:r>
              <w:rPr>
                <w:rFonts w:hint="eastAsia"/>
                <w:color w:val="auto"/>
              </w:rPr>
              <w:t>5</w:t>
            </w:r>
            <w:r>
              <w:rPr>
                <w:color w:val="auto"/>
              </w:rPr>
              <w:t>年柳州市生态环境状况公报》，项目所在区域属于达标区。</w:t>
            </w:r>
          </w:p>
          <w:p w14:paraId="17DF97BD">
            <w:pPr>
              <w:ind w:firstLine="480"/>
              <w:rPr>
                <w:color w:val="auto"/>
              </w:rPr>
            </w:pPr>
            <w:r>
              <w:rPr>
                <w:color w:val="auto"/>
              </w:rPr>
              <w:t>（1）202</w:t>
            </w:r>
            <w:r>
              <w:rPr>
                <w:rFonts w:hint="eastAsia"/>
                <w:color w:val="auto"/>
              </w:rPr>
              <w:t>5</w:t>
            </w:r>
            <w:r>
              <w:rPr>
                <w:color w:val="auto"/>
              </w:rPr>
              <w:t>年柳州市区域现状质量达标情况分析</w:t>
            </w:r>
          </w:p>
          <w:p w14:paraId="77CCE721">
            <w:pPr>
              <w:ind w:firstLine="480"/>
              <w:rPr>
                <w:color w:val="auto"/>
              </w:rPr>
            </w:pPr>
            <w:r>
              <w:rPr>
                <w:color w:val="auto"/>
              </w:rPr>
              <w:t>根据柳州市生态环境局发布的《</w:t>
            </w:r>
            <w:r>
              <w:rPr>
                <w:rFonts w:hint="eastAsia"/>
                <w:color w:val="auto"/>
              </w:rPr>
              <w:t>2025</w:t>
            </w:r>
            <w:r>
              <w:rPr>
                <w:color w:val="auto"/>
              </w:rPr>
              <w:t>年柳州市生态环境状况公报》，本项目所在柳江区区域环境空气质量达标区判定情况见表3-1。</w:t>
            </w:r>
          </w:p>
          <w:p w14:paraId="0ACBC30B">
            <w:pPr>
              <w:pStyle w:val="35"/>
              <w:rPr>
                <w:rFonts w:hint="default"/>
                <w:color w:val="auto"/>
              </w:rPr>
            </w:pPr>
            <w:r>
              <w:rPr>
                <w:color w:val="auto"/>
              </w:rPr>
              <w:t>表3-1 2025年柳州市柳江区空气自动站监测结果统计表</w:t>
            </w:r>
          </w:p>
          <w:tbl>
            <w:tblPr>
              <w:tblStyle w:val="43"/>
              <w:tblW w:w="7996"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752"/>
              <w:gridCol w:w="1544"/>
              <w:gridCol w:w="984"/>
              <w:gridCol w:w="915"/>
              <w:gridCol w:w="866"/>
              <w:gridCol w:w="597"/>
              <w:gridCol w:w="866"/>
              <w:gridCol w:w="935"/>
              <w:gridCol w:w="537"/>
            </w:tblGrid>
            <w:tr w14:paraId="760622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5" w:hRule="atLeast"/>
                <w:jc w:val="center"/>
              </w:trPr>
              <w:tc>
                <w:tcPr>
                  <w:tcW w:w="752" w:type="dxa"/>
                  <w:vMerge w:val="restart"/>
                  <w:tcBorders>
                    <w:tl2br w:val="nil"/>
                    <w:tr2bl w:val="nil"/>
                  </w:tcBorders>
                  <w:vAlign w:val="center"/>
                </w:tcPr>
                <w:p w14:paraId="46063FC2">
                  <w:pPr>
                    <w:pStyle w:val="33"/>
                    <w:rPr>
                      <w:color w:val="auto"/>
                    </w:rPr>
                  </w:pPr>
                  <w:r>
                    <w:rPr>
                      <w:color w:val="auto"/>
                    </w:rPr>
                    <w:t>污染物</w:t>
                  </w:r>
                </w:p>
              </w:tc>
              <w:tc>
                <w:tcPr>
                  <w:tcW w:w="1544" w:type="dxa"/>
                  <w:vMerge w:val="restart"/>
                  <w:tcBorders>
                    <w:tl2br w:val="nil"/>
                    <w:tr2bl w:val="nil"/>
                  </w:tcBorders>
                  <w:vAlign w:val="center"/>
                </w:tcPr>
                <w:p w14:paraId="78C8C93E">
                  <w:pPr>
                    <w:pStyle w:val="33"/>
                    <w:rPr>
                      <w:color w:val="auto"/>
                    </w:rPr>
                  </w:pPr>
                  <w:r>
                    <w:rPr>
                      <w:color w:val="auto"/>
                    </w:rPr>
                    <w:t>年评价指标</w:t>
                  </w:r>
                </w:p>
              </w:tc>
              <w:tc>
                <w:tcPr>
                  <w:tcW w:w="984" w:type="dxa"/>
                  <w:vMerge w:val="restart"/>
                  <w:tcBorders>
                    <w:tl2br w:val="nil"/>
                    <w:tr2bl w:val="nil"/>
                  </w:tcBorders>
                  <w:vAlign w:val="center"/>
                </w:tcPr>
                <w:p w14:paraId="49DD5293">
                  <w:pPr>
                    <w:pStyle w:val="33"/>
                    <w:rPr>
                      <w:color w:val="auto"/>
                    </w:rPr>
                  </w:pPr>
                  <w:r>
                    <w:rPr>
                      <w:color w:val="auto"/>
                    </w:rPr>
                    <w:t>现状浓度(µg/m</w:t>
                  </w:r>
                  <w:r>
                    <w:rPr>
                      <w:color w:val="auto"/>
                      <w:vertAlign w:val="superscript"/>
                    </w:rPr>
                    <w:t>3</w:t>
                  </w:r>
                  <w:r>
                    <w:rPr>
                      <w:color w:val="auto"/>
                    </w:rPr>
                    <w:t>）</w:t>
                  </w:r>
                </w:p>
              </w:tc>
              <w:tc>
                <w:tcPr>
                  <w:tcW w:w="1781" w:type="dxa"/>
                  <w:gridSpan w:val="2"/>
                  <w:tcBorders>
                    <w:tl2br w:val="nil"/>
                    <w:tr2bl w:val="nil"/>
                  </w:tcBorders>
                  <w:vAlign w:val="center"/>
                </w:tcPr>
                <w:p w14:paraId="4AB59F67">
                  <w:pPr>
                    <w:pStyle w:val="33"/>
                    <w:rPr>
                      <w:color w:val="auto"/>
                    </w:rPr>
                  </w:pPr>
                  <w:r>
                    <w:rPr>
                      <w:rFonts w:hint="eastAsia"/>
                      <w:color w:val="auto"/>
                    </w:rPr>
                    <w:t>GB3095-2012</w:t>
                  </w:r>
                </w:p>
              </w:tc>
              <w:tc>
                <w:tcPr>
                  <w:tcW w:w="597" w:type="dxa"/>
                  <w:vMerge w:val="restart"/>
                  <w:tcBorders>
                    <w:tl2br w:val="nil"/>
                    <w:tr2bl w:val="nil"/>
                  </w:tcBorders>
                  <w:vAlign w:val="center"/>
                </w:tcPr>
                <w:p w14:paraId="34B10FA1">
                  <w:pPr>
                    <w:pStyle w:val="33"/>
                    <w:rPr>
                      <w:color w:val="auto"/>
                    </w:rPr>
                  </w:pPr>
                  <w:r>
                    <w:rPr>
                      <w:rFonts w:hint="eastAsia"/>
                      <w:color w:val="auto"/>
                    </w:rPr>
                    <w:t>达标情况</w:t>
                  </w:r>
                </w:p>
              </w:tc>
              <w:tc>
                <w:tcPr>
                  <w:tcW w:w="1801" w:type="dxa"/>
                  <w:gridSpan w:val="2"/>
                  <w:tcBorders>
                    <w:tl2br w:val="nil"/>
                    <w:tr2bl w:val="nil"/>
                  </w:tcBorders>
                  <w:vAlign w:val="center"/>
                </w:tcPr>
                <w:p w14:paraId="07B16BD5">
                  <w:pPr>
                    <w:pStyle w:val="33"/>
                    <w:rPr>
                      <w:color w:val="auto"/>
                    </w:rPr>
                  </w:pPr>
                  <w:r>
                    <w:rPr>
                      <w:rFonts w:hint="eastAsia"/>
                      <w:color w:val="auto"/>
                    </w:rPr>
                    <w:t>GB3095-2026</w:t>
                  </w:r>
                </w:p>
              </w:tc>
              <w:tc>
                <w:tcPr>
                  <w:tcW w:w="537" w:type="dxa"/>
                  <w:vMerge w:val="restart"/>
                  <w:tcBorders>
                    <w:tl2br w:val="nil"/>
                    <w:tr2bl w:val="nil"/>
                  </w:tcBorders>
                  <w:vAlign w:val="center"/>
                </w:tcPr>
                <w:p w14:paraId="3C8283C6">
                  <w:pPr>
                    <w:pStyle w:val="33"/>
                    <w:rPr>
                      <w:color w:val="auto"/>
                    </w:rPr>
                  </w:pPr>
                  <w:r>
                    <w:rPr>
                      <w:color w:val="auto"/>
                    </w:rPr>
                    <w:t>达标情况</w:t>
                  </w:r>
                </w:p>
              </w:tc>
            </w:tr>
            <w:tr w14:paraId="2BEC3D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5" w:hRule="atLeast"/>
                <w:jc w:val="center"/>
              </w:trPr>
              <w:tc>
                <w:tcPr>
                  <w:tcW w:w="752" w:type="dxa"/>
                  <w:vMerge w:val="continue"/>
                  <w:tcBorders>
                    <w:tl2br w:val="nil"/>
                    <w:tr2bl w:val="nil"/>
                  </w:tcBorders>
                  <w:vAlign w:val="center"/>
                </w:tcPr>
                <w:p w14:paraId="6453BA2F">
                  <w:pPr>
                    <w:pStyle w:val="33"/>
                    <w:rPr>
                      <w:color w:val="auto"/>
                    </w:rPr>
                  </w:pPr>
                </w:p>
              </w:tc>
              <w:tc>
                <w:tcPr>
                  <w:tcW w:w="1544" w:type="dxa"/>
                  <w:vMerge w:val="continue"/>
                  <w:tcBorders>
                    <w:tl2br w:val="nil"/>
                    <w:tr2bl w:val="nil"/>
                  </w:tcBorders>
                  <w:vAlign w:val="center"/>
                </w:tcPr>
                <w:p w14:paraId="7B1A88E5">
                  <w:pPr>
                    <w:pStyle w:val="33"/>
                    <w:rPr>
                      <w:color w:val="auto"/>
                    </w:rPr>
                  </w:pPr>
                </w:p>
              </w:tc>
              <w:tc>
                <w:tcPr>
                  <w:tcW w:w="984" w:type="dxa"/>
                  <w:vMerge w:val="continue"/>
                  <w:tcBorders>
                    <w:tl2br w:val="nil"/>
                    <w:tr2bl w:val="nil"/>
                  </w:tcBorders>
                  <w:vAlign w:val="center"/>
                </w:tcPr>
                <w:p w14:paraId="4402A1A4">
                  <w:pPr>
                    <w:pStyle w:val="33"/>
                    <w:rPr>
                      <w:color w:val="auto"/>
                    </w:rPr>
                  </w:pPr>
                </w:p>
              </w:tc>
              <w:tc>
                <w:tcPr>
                  <w:tcW w:w="915" w:type="dxa"/>
                  <w:tcBorders>
                    <w:tl2br w:val="nil"/>
                    <w:tr2bl w:val="nil"/>
                  </w:tcBorders>
                  <w:vAlign w:val="center"/>
                </w:tcPr>
                <w:p w14:paraId="33FFF283">
                  <w:pPr>
                    <w:pStyle w:val="33"/>
                    <w:rPr>
                      <w:color w:val="auto"/>
                    </w:rPr>
                  </w:pPr>
                  <w:r>
                    <w:rPr>
                      <w:color w:val="auto"/>
                    </w:rPr>
                    <w:t>标准值(µg/m</w:t>
                  </w:r>
                  <w:r>
                    <w:rPr>
                      <w:color w:val="auto"/>
                      <w:vertAlign w:val="superscript"/>
                    </w:rPr>
                    <w:t>3</w:t>
                  </w:r>
                  <w:r>
                    <w:rPr>
                      <w:color w:val="auto"/>
                    </w:rPr>
                    <w:t>）</w:t>
                  </w:r>
                </w:p>
              </w:tc>
              <w:tc>
                <w:tcPr>
                  <w:tcW w:w="866" w:type="dxa"/>
                  <w:tcBorders>
                    <w:tl2br w:val="nil"/>
                    <w:tr2bl w:val="nil"/>
                  </w:tcBorders>
                  <w:vAlign w:val="center"/>
                </w:tcPr>
                <w:p w14:paraId="7D074E93">
                  <w:pPr>
                    <w:pStyle w:val="33"/>
                    <w:rPr>
                      <w:color w:val="auto"/>
                    </w:rPr>
                  </w:pPr>
                  <w:r>
                    <w:rPr>
                      <w:color w:val="auto"/>
                    </w:rPr>
                    <w:t>占标率（%）</w:t>
                  </w:r>
                </w:p>
              </w:tc>
              <w:tc>
                <w:tcPr>
                  <w:tcW w:w="597" w:type="dxa"/>
                  <w:vMerge w:val="continue"/>
                  <w:tcBorders>
                    <w:tl2br w:val="nil"/>
                    <w:tr2bl w:val="nil"/>
                  </w:tcBorders>
                  <w:vAlign w:val="center"/>
                </w:tcPr>
                <w:p w14:paraId="1C5E4614">
                  <w:pPr>
                    <w:pStyle w:val="33"/>
                    <w:rPr>
                      <w:color w:val="auto"/>
                    </w:rPr>
                  </w:pPr>
                </w:p>
              </w:tc>
              <w:tc>
                <w:tcPr>
                  <w:tcW w:w="866" w:type="dxa"/>
                  <w:tcBorders>
                    <w:tl2br w:val="nil"/>
                    <w:tr2bl w:val="nil"/>
                  </w:tcBorders>
                  <w:vAlign w:val="center"/>
                </w:tcPr>
                <w:p w14:paraId="67B33DA9">
                  <w:pPr>
                    <w:pStyle w:val="33"/>
                    <w:rPr>
                      <w:color w:val="auto"/>
                    </w:rPr>
                  </w:pPr>
                  <w:r>
                    <w:rPr>
                      <w:color w:val="auto"/>
                    </w:rPr>
                    <w:t>标准值(µg/m</w:t>
                  </w:r>
                  <w:r>
                    <w:rPr>
                      <w:color w:val="auto"/>
                      <w:vertAlign w:val="superscript"/>
                    </w:rPr>
                    <w:t>3</w:t>
                  </w:r>
                  <w:r>
                    <w:rPr>
                      <w:color w:val="auto"/>
                    </w:rPr>
                    <w:t>）</w:t>
                  </w:r>
                </w:p>
              </w:tc>
              <w:tc>
                <w:tcPr>
                  <w:tcW w:w="935" w:type="dxa"/>
                  <w:tcBorders>
                    <w:tl2br w:val="nil"/>
                    <w:tr2bl w:val="nil"/>
                  </w:tcBorders>
                  <w:vAlign w:val="center"/>
                </w:tcPr>
                <w:p w14:paraId="625178C6">
                  <w:pPr>
                    <w:pStyle w:val="33"/>
                    <w:rPr>
                      <w:color w:val="auto"/>
                    </w:rPr>
                  </w:pPr>
                  <w:r>
                    <w:rPr>
                      <w:color w:val="auto"/>
                    </w:rPr>
                    <w:t>占标率（%）</w:t>
                  </w:r>
                </w:p>
              </w:tc>
              <w:tc>
                <w:tcPr>
                  <w:tcW w:w="537" w:type="dxa"/>
                  <w:vMerge w:val="continue"/>
                  <w:tcBorders>
                    <w:tl2br w:val="nil"/>
                    <w:tr2bl w:val="nil"/>
                  </w:tcBorders>
                  <w:vAlign w:val="center"/>
                </w:tcPr>
                <w:p w14:paraId="6A9331D9">
                  <w:pPr>
                    <w:pStyle w:val="33"/>
                    <w:rPr>
                      <w:color w:val="auto"/>
                    </w:rPr>
                  </w:pPr>
                </w:p>
              </w:tc>
            </w:tr>
            <w:tr w14:paraId="0C7809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8" w:hRule="atLeast"/>
                <w:jc w:val="center"/>
              </w:trPr>
              <w:tc>
                <w:tcPr>
                  <w:tcW w:w="752" w:type="dxa"/>
                  <w:tcBorders>
                    <w:tl2br w:val="nil"/>
                    <w:tr2bl w:val="nil"/>
                  </w:tcBorders>
                  <w:vAlign w:val="center"/>
                </w:tcPr>
                <w:p w14:paraId="21033840">
                  <w:pPr>
                    <w:pStyle w:val="33"/>
                    <w:rPr>
                      <w:color w:val="auto"/>
                    </w:rPr>
                  </w:pPr>
                  <w:r>
                    <w:rPr>
                      <w:color w:val="auto"/>
                    </w:rPr>
                    <w:t>SO</w:t>
                  </w:r>
                  <w:r>
                    <w:rPr>
                      <w:color w:val="auto"/>
                      <w:vertAlign w:val="subscript"/>
                    </w:rPr>
                    <w:t>2</w:t>
                  </w:r>
                </w:p>
              </w:tc>
              <w:tc>
                <w:tcPr>
                  <w:tcW w:w="1544" w:type="dxa"/>
                  <w:tcBorders>
                    <w:tl2br w:val="nil"/>
                    <w:tr2bl w:val="nil"/>
                  </w:tcBorders>
                  <w:vAlign w:val="center"/>
                </w:tcPr>
                <w:p w14:paraId="1391AECB">
                  <w:pPr>
                    <w:pStyle w:val="33"/>
                    <w:rPr>
                      <w:color w:val="auto"/>
                    </w:rPr>
                  </w:pPr>
                  <w:r>
                    <w:rPr>
                      <w:color w:val="auto"/>
                    </w:rPr>
                    <w:t>年平均质量浓度</w:t>
                  </w:r>
                </w:p>
              </w:tc>
              <w:tc>
                <w:tcPr>
                  <w:tcW w:w="984" w:type="dxa"/>
                  <w:tcBorders>
                    <w:tl2br w:val="nil"/>
                    <w:tr2bl w:val="nil"/>
                  </w:tcBorders>
                  <w:vAlign w:val="center"/>
                </w:tcPr>
                <w:p w14:paraId="56EB566B">
                  <w:pPr>
                    <w:pStyle w:val="33"/>
                    <w:rPr>
                      <w:color w:val="auto"/>
                    </w:rPr>
                  </w:pPr>
                  <w:r>
                    <w:rPr>
                      <w:rFonts w:hint="eastAsia"/>
                      <w:color w:val="auto"/>
                    </w:rPr>
                    <w:t>8</w:t>
                  </w:r>
                </w:p>
              </w:tc>
              <w:tc>
                <w:tcPr>
                  <w:tcW w:w="915" w:type="dxa"/>
                  <w:tcBorders>
                    <w:tl2br w:val="nil"/>
                    <w:tr2bl w:val="nil"/>
                  </w:tcBorders>
                  <w:vAlign w:val="center"/>
                </w:tcPr>
                <w:p w14:paraId="1D5F3B50">
                  <w:pPr>
                    <w:pStyle w:val="33"/>
                    <w:rPr>
                      <w:color w:val="auto"/>
                    </w:rPr>
                  </w:pPr>
                  <w:r>
                    <w:rPr>
                      <w:color w:val="auto"/>
                    </w:rPr>
                    <w:t>60</w:t>
                  </w:r>
                </w:p>
              </w:tc>
              <w:tc>
                <w:tcPr>
                  <w:tcW w:w="866" w:type="dxa"/>
                  <w:tcBorders>
                    <w:tl2br w:val="nil"/>
                    <w:tr2bl w:val="nil"/>
                  </w:tcBorders>
                  <w:vAlign w:val="center"/>
                </w:tcPr>
                <w:p w14:paraId="697329E0">
                  <w:pPr>
                    <w:pStyle w:val="33"/>
                    <w:rPr>
                      <w:color w:val="auto"/>
                    </w:rPr>
                  </w:pPr>
                  <w:r>
                    <w:rPr>
                      <w:rFonts w:hint="eastAsia"/>
                      <w:color w:val="auto"/>
                    </w:rPr>
                    <w:t>13.3</w:t>
                  </w:r>
                </w:p>
              </w:tc>
              <w:tc>
                <w:tcPr>
                  <w:tcW w:w="597" w:type="dxa"/>
                  <w:tcBorders>
                    <w:tl2br w:val="nil"/>
                    <w:tr2bl w:val="nil"/>
                  </w:tcBorders>
                  <w:vAlign w:val="center"/>
                </w:tcPr>
                <w:p w14:paraId="021A70F6">
                  <w:pPr>
                    <w:pStyle w:val="33"/>
                    <w:rPr>
                      <w:color w:val="auto"/>
                    </w:rPr>
                  </w:pPr>
                  <w:r>
                    <w:rPr>
                      <w:color w:val="auto"/>
                    </w:rPr>
                    <w:t>达标</w:t>
                  </w:r>
                </w:p>
              </w:tc>
              <w:tc>
                <w:tcPr>
                  <w:tcW w:w="866" w:type="dxa"/>
                  <w:tcBorders>
                    <w:tl2br w:val="nil"/>
                    <w:tr2bl w:val="nil"/>
                  </w:tcBorders>
                  <w:vAlign w:val="center"/>
                </w:tcPr>
                <w:p w14:paraId="4B6C4723">
                  <w:pPr>
                    <w:pStyle w:val="33"/>
                    <w:rPr>
                      <w:color w:val="auto"/>
                    </w:rPr>
                  </w:pPr>
                  <w:r>
                    <w:rPr>
                      <w:color w:val="auto"/>
                    </w:rPr>
                    <w:t>60</w:t>
                  </w:r>
                </w:p>
              </w:tc>
              <w:tc>
                <w:tcPr>
                  <w:tcW w:w="935" w:type="dxa"/>
                  <w:tcBorders>
                    <w:tl2br w:val="nil"/>
                    <w:tr2bl w:val="nil"/>
                  </w:tcBorders>
                  <w:vAlign w:val="center"/>
                </w:tcPr>
                <w:p w14:paraId="13F1E548">
                  <w:pPr>
                    <w:pStyle w:val="33"/>
                    <w:rPr>
                      <w:color w:val="auto"/>
                    </w:rPr>
                  </w:pPr>
                  <w:r>
                    <w:rPr>
                      <w:rFonts w:hint="eastAsia"/>
                      <w:color w:val="auto"/>
                    </w:rPr>
                    <w:t>13.3</w:t>
                  </w:r>
                </w:p>
              </w:tc>
              <w:tc>
                <w:tcPr>
                  <w:tcW w:w="537" w:type="dxa"/>
                  <w:tcBorders>
                    <w:tl2br w:val="nil"/>
                    <w:tr2bl w:val="nil"/>
                  </w:tcBorders>
                  <w:vAlign w:val="center"/>
                </w:tcPr>
                <w:p w14:paraId="41F5C449">
                  <w:pPr>
                    <w:pStyle w:val="33"/>
                    <w:rPr>
                      <w:color w:val="auto"/>
                    </w:rPr>
                  </w:pPr>
                  <w:r>
                    <w:rPr>
                      <w:color w:val="auto"/>
                    </w:rPr>
                    <w:t>达标</w:t>
                  </w:r>
                </w:p>
              </w:tc>
            </w:tr>
            <w:tr w14:paraId="097650C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752" w:type="dxa"/>
                  <w:tcBorders>
                    <w:tl2br w:val="nil"/>
                    <w:tr2bl w:val="nil"/>
                  </w:tcBorders>
                  <w:vAlign w:val="center"/>
                </w:tcPr>
                <w:p w14:paraId="7403CE78">
                  <w:pPr>
                    <w:pStyle w:val="33"/>
                    <w:rPr>
                      <w:color w:val="auto"/>
                    </w:rPr>
                  </w:pPr>
                  <w:r>
                    <w:rPr>
                      <w:color w:val="auto"/>
                    </w:rPr>
                    <w:t>NO</w:t>
                  </w:r>
                  <w:r>
                    <w:rPr>
                      <w:color w:val="auto"/>
                      <w:vertAlign w:val="subscript"/>
                    </w:rPr>
                    <w:t>2</w:t>
                  </w:r>
                </w:p>
              </w:tc>
              <w:tc>
                <w:tcPr>
                  <w:tcW w:w="1544" w:type="dxa"/>
                  <w:tcBorders>
                    <w:tl2br w:val="nil"/>
                    <w:tr2bl w:val="nil"/>
                  </w:tcBorders>
                  <w:vAlign w:val="center"/>
                </w:tcPr>
                <w:p w14:paraId="5114BF5D">
                  <w:pPr>
                    <w:pStyle w:val="33"/>
                    <w:rPr>
                      <w:color w:val="auto"/>
                    </w:rPr>
                  </w:pPr>
                  <w:r>
                    <w:rPr>
                      <w:color w:val="auto"/>
                    </w:rPr>
                    <w:t>年平均质量浓度</w:t>
                  </w:r>
                </w:p>
              </w:tc>
              <w:tc>
                <w:tcPr>
                  <w:tcW w:w="984" w:type="dxa"/>
                  <w:tcBorders>
                    <w:tl2br w:val="nil"/>
                    <w:tr2bl w:val="nil"/>
                  </w:tcBorders>
                  <w:vAlign w:val="center"/>
                </w:tcPr>
                <w:p w14:paraId="23FE30AC">
                  <w:pPr>
                    <w:pStyle w:val="33"/>
                    <w:rPr>
                      <w:color w:val="auto"/>
                    </w:rPr>
                  </w:pPr>
                  <w:r>
                    <w:rPr>
                      <w:rFonts w:hint="eastAsia"/>
                      <w:color w:val="auto"/>
                    </w:rPr>
                    <w:t>18</w:t>
                  </w:r>
                </w:p>
              </w:tc>
              <w:tc>
                <w:tcPr>
                  <w:tcW w:w="915" w:type="dxa"/>
                  <w:tcBorders>
                    <w:tl2br w:val="nil"/>
                    <w:tr2bl w:val="nil"/>
                  </w:tcBorders>
                  <w:vAlign w:val="center"/>
                </w:tcPr>
                <w:p w14:paraId="699E00D0">
                  <w:pPr>
                    <w:pStyle w:val="33"/>
                    <w:rPr>
                      <w:color w:val="auto"/>
                    </w:rPr>
                  </w:pPr>
                  <w:r>
                    <w:rPr>
                      <w:color w:val="auto"/>
                    </w:rPr>
                    <w:t>40</w:t>
                  </w:r>
                </w:p>
              </w:tc>
              <w:tc>
                <w:tcPr>
                  <w:tcW w:w="866" w:type="dxa"/>
                  <w:tcBorders>
                    <w:tl2br w:val="nil"/>
                    <w:tr2bl w:val="nil"/>
                  </w:tcBorders>
                  <w:vAlign w:val="center"/>
                </w:tcPr>
                <w:p w14:paraId="6D920C98">
                  <w:pPr>
                    <w:pStyle w:val="33"/>
                    <w:rPr>
                      <w:color w:val="auto"/>
                    </w:rPr>
                  </w:pPr>
                  <w:r>
                    <w:rPr>
                      <w:rFonts w:hint="eastAsia"/>
                      <w:color w:val="auto"/>
                    </w:rPr>
                    <w:t>45</w:t>
                  </w:r>
                </w:p>
              </w:tc>
              <w:tc>
                <w:tcPr>
                  <w:tcW w:w="597" w:type="dxa"/>
                  <w:tcBorders>
                    <w:tl2br w:val="nil"/>
                    <w:tr2bl w:val="nil"/>
                  </w:tcBorders>
                  <w:vAlign w:val="center"/>
                </w:tcPr>
                <w:p w14:paraId="16FA05AD">
                  <w:pPr>
                    <w:pStyle w:val="33"/>
                    <w:rPr>
                      <w:color w:val="auto"/>
                    </w:rPr>
                  </w:pPr>
                  <w:r>
                    <w:rPr>
                      <w:color w:val="auto"/>
                    </w:rPr>
                    <w:t>达标</w:t>
                  </w:r>
                </w:p>
              </w:tc>
              <w:tc>
                <w:tcPr>
                  <w:tcW w:w="866" w:type="dxa"/>
                  <w:tcBorders>
                    <w:tl2br w:val="nil"/>
                    <w:tr2bl w:val="nil"/>
                  </w:tcBorders>
                  <w:vAlign w:val="center"/>
                </w:tcPr>
                <w:p w14:paraId="10B88B67">
                  <w:pPr>
                    <w:pStyle w:val="33"/>
                    <w:rPr>
                      <w:color w:val="auto"/>
                    </w:rPr>
                  </w:pPr>
                  <w:r>
                    <w:rPr>
                      <w:color w:val="auto"/>
                    </w:rPr>
                    <w:t>40</w:t>
                  </w:r>
                </w:p>
              </w:tc>
              <w:tc>
                <w:tcPr>
                  <w:tcW w:w="935" w:type="dxa"/>
                  <w:tcBorders>
                    <w:tl2br w:val="nil"/>
                    <w:tr2bl w:val="nil"/>
                  </w:tcBorders>
                  <w:vAlign w:val="center"/>
                </w:tcPr>
                <w:p w14:paraId="12C8A1D2">
                  <w:pPr>
                    <w:pStyle w:val="33"/>
                    <w:rPr>
                      <w:color w:val="auto"/>
                    </w:rPr>
                  </w:pPr>
                  <w:r>
                    <w:rPr>
                      <w:rFonts w:hint="eastAsia"/>
                      <w:color w:val="auto"/>
                    </w:rPr>
                    <w:t>45</w:t>
                  </w:r>
                </w:p>
              </w:tc>
              <w:tc>
                <w:tcPr>
                  <w:tcW w:w="537" w:type="dxa"/>
                  <w:tcBorders>
                    <w:tl2br w:val="nil"/>
                    <w:tr2bl w:val="nil"/>
                  </w:tcBorders>
                  <w:vAlign w:val="center"/>
                </w:tcPr>
                <w:p w14:paraId="35F4BFFE">
                  <w:pPr>
                    <w:pStyle w:val="33"/>
                    <w:rPr>
                      <w:color w:val="auto"/>
                    </w:rPr>
                  </w:pPr>
                  <w:r>
                    <w:rPr>
                      <w:color w:val="auto"/>
                    </w:rPr>
                    <w:t>达标</w:t>
                  </w:r>
                </w:p>
              </w:tc>
            </w:tr>
            <w:tr w14:paraId="7CADE5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752" w:type="dxa"/>
                  <w:tcBorders>
                    <w:tl2br w:val="nil"/>
                    <w:tr2bl w:val="nil"/>
                  </w:tcBorders>
                  <w:vAlign w:val="center"/>
                </w:tcPr>
                <w:p w14:paraId="1B05FCDF">
                  <w:pPr>
                    <w:pStyle w:val="33"/>
                    <w:rPr>
                      <w:color w:val="auto"/>
                    </w:rPr>
                  </w:pPr>
                  <w:r>
                    <w:rPr>
                      <w:color w:val="auto"/>
                    </w:rPr>
                    <w:t>PM</w:t>
                  </w:r>
                  <w:r>
                    <w:rPr>
                      <w:color w:val="auto"/>
                      <w:vertAlign w:val="subscript"/>
                    </w:rPr>
                    <w:t>10</w:t>
                  </w:r>
                </w:p>
              </w:tc>
              <w:tc>
                <w:tcPr>
                  <w:tcW w:w="1544" w:type="dxa"/>
                  <w:tcBorders>
                    <w:tl2br w:val="nil"/>
                    <w:tr2bl w:val="nil"/>
                  </w:tcBorders>
                  <w:vAlign w:val="center"/>
                </w:tcPr>
                <w:p w14:paraId="4FC2C649">
                  <w:pPr>
                    <w:pStyle w:val="33"/>
                    <w:rPr>
                      <w:color w:val="auto"/>
                    </w:rPr>
                  </w:pPr>
                  <w:r>
                    <w:rPr>
                      <w:color w:val="auto"/>
                    </w:rPr>
                    <w:t>年平均质量浓度</w:t>
                  </w:r>
                </w:p>
              </w:tc>
              <w:tc>
                <w:tcPr>
                  <w:tcW w:w="984" w:type="dxa"/>
                  <w:tcBorders>
                    <w:tl2br w:val="nil"/>
                    <w:tr2bl w:val="nil"/>
                  </w:tcBorders>
                  <w:vAlign w:val="center"/>
                </w:tcPr>
                <w:p w14:paraId="7E3DBF19">
                  <w:pPr>
                    <w:pStyle w:val="33"/>
                    <w:rPr>
                      <w:color w:val="auto"/>
                    </w:rPr>
                  </w:pPr>
                  <w:r>
                    <w:rPr>
                      <w:rFonts w:hint="eastAsia"/>
                      <w:color w:val="auto"/>
                    </w:rPr>
                    <w:t>48</w:t>
                  </w:r>
                </w:p>
              </w:tc>
              <w:tc>
                <w:tcPr>
                  <w:tcW w:w="915" w:type="dxa"/>
                  <w:tcBorders>
                    <w:tl2br w:val="nil"/>
                    <w:tr2bl w:val="nil"/>
                  </w:tcBorders>
                  <w:vAlign w:val="center"/>
                </w:tcPr>
                <w:p w14:paraId="21D92775">
                  <w:pPr>
                    <w:pStyle w:val="33"/>
                    <w:rPr>
                      <w:color w:val="auto"/>
                    </w:rPr>
                  </w:pPr>
                  <w:r>
                    <w:rPr>
                      <w:rFonts w:hint="eastAsia"/>
                      <w:color w:val="auto"/>
                    </w:rPr>
                    <w:t>70</w:t>
                  </w:r>
                </w:p>
              </w:tc>
              <w:tc>
                <w:tcPr>
                  <w:tcW w:w="866" w:type="dxa"/>
                  <w:tcBorders>
                    <w:tl2br w:val="nil"/>
                    <w:tr2bl w:val="nil"/>
                  </w:tcBorders>
                  <w:vAlign w:val="center"/>
                </w:tcPr>
                <w:p w14:paraId="22CB7345">
                  <w:pPr>
                    <w:pStyle w:val="33"/>
                    <w:rPr>
                      <w:color w:val="auto"/>
                    </w:rPr>
                  </w:pPr>
                  <w:r>
                    <w:rPr>
                      <w:rFonts w:hint="eastAsia"/>
                      <w:color w:val="auto"/>
                    </w:rPr>
                    <w:t>68.6</w:t>
                  </w:r>
                </w:p>
              </w:tc>
              <w:tc>
                <w:tcPr>
                  <w:tcW w:w="597" w:type="dxa"/>
                  <w:tcBorders>
                    <w:tl2br w:val="nil"/>
                    <w:tr2bl w:val="nil"/>
                  </w:tcBorders>
                  <w:vAlign w:val="center"/>
                </w:tcPr>
                <w:p w14:paraId="7211E7A5">
                  <w:pPr>
                    <w:pStyle w:val="33"/>
                    <w:rPr>
                      <w:color w:val="auto"/>
                    </w:rPr>
                  </w:pPr>
                  <w:r>
                    <w:rPr>
                      <w:color w:val="auto"/>
                    </w:rPr>
                    <w:t>达标</w:t>
                  </w:r>
                </w:p>
              </w:tc>
              <w:tc>
                <w:tcPr>
                  <w:tcW w:w="866" w:type="dxa"/>
                  <w:tcBorders>
                    <w:tl2br w:val="nil"/>
                    <w:tr2bl w:val="nil"/>
                  </w:tcBorders>
                  <w:vAlign w:val="center"/>
                </w:tcPr>
                <w:p w14:paraId="33F08D05">
                  <w:pPr>
                    <w:pStyle w:val="33"/>
                    <w:rPr>
                      <w:color w:val="auto"/>
                    </w:rPr>
                  </w:pPr>
                  <w:r>
                    <w:rPr>
                      <w:rFonts w:hint="eastAsia"/>
                      <w:color w:val="auto"/>
                    </w:rPr>
                    <w:t>60</w:t>
                  </w:r>
                </w:p>
              </w:tc>
              <w:tc>
                <w:tcPr>
                  <w:tcW w:w="935" w:type="dxa"/>
                  <w:tcBorders>
                    <w:tl2br w:val="nil"/>
                    <w:tr2bl w:val="nil"/>
                  </w:tcBorders>
                  <w:vAlign w:val="center"/>
                </w:tcPr>
                <w:p w14:paraId="2E5EB7D5">
                  <w:pPr>
                    <w:pStyle w:val="33"/>
                    <w:rPr>
                      <w:color w:val="auto"/>
                    </w:rPr>
                  </w:pPr>
                  <w:r>
                    <w:rPr>
                      <w:rFonts w:hint="eastAsia"/>
                      <w:color w:val="auto"/>
                    </w:rPr>
                    <w:t>80</w:t>
                  </w:r>
                </w:p>
              </w:tc>
              <w:tc>
                <w:tcPr>
                  <w:tcW w:w="537" w:type="dxa"/>
                  <w:tcBorders>
                    <w:tl2br w:val="nil"/>
                    <w:tr2bl w:val="nil"/>
                  </w:tcBorders>
                  <w:vAlign w:val="center"/>
                </w:tcPr>
                <w:p w14:paraId="02BF3701">
                  <w:pPr>
                    <w:pStyle w:val="33"/>
                    <w:rPr>
                      <w:color w:val="auto"/>
                    </w:rPr>
                  </w:pPr>
                  <w:r>
                    <w:rPr>
                      <w:color w:val="auto"/>
                    </w:rPr>
                    <w:t>达标</w:t>
                  </w:r>
                </w:p>
              </w:tc>
            </w:tr>
            <w:tr w14:paraId="4B1F6B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752" w:type="dxa"/>
                  <w:tcBorders>
                    <w:tl2br w:val="nil"/>
                    <w:tr2bl w:val="nil"/>
                  </w:tcBorders>
                  <w:vAlign w:val="center"/>
                </w:tcPr>
                <w:p w14:paraId="365A704B">
                  <w:pPr>
                    <w:pStyle w:val="33"/>
                    <w:rPr>
                      <w:color w:val="auto"/>
                    </w:rPr>
                  </w:pPr>
                  <w:r>
                    <w:rPr>
                      <w:color w:val="auto"/>
                    </w:rPr>
                    <w:t>PM</w:t>
                  </w:r>
                  <w:r>
                    <w:rPr>
                      <w:color w:val="auto"/>
                      <w:vertAlign w:val="subscript"/>
                    </w:rPr>
                    <w:t>2.5</w:t>
                  </w:r>
                </w:p>
              </w:tc>
              <w:tc>
                <w:tcPr>
                  <w:tcW w:w="1544" w:type="dxa"/>
                  <w:tcBorders>
                    <w:tl2br w:val="nil"/>
                    <w:tr2bl w:val="nil"/>
                  </w:tcBorders>
                  <w:vAlign w:val="center"/>
                </w:tcPr>
                <w:p w14:paraId="4692CAD5">
                  <w:pPr>
                    <w:pStyle w:val="33"/>
                    <w:rPr>
                      <w:color w:val="auto"/>
                    </w:rPr>
                  </w:pPr>
                  <w:r>
                    <w:rPr>
                      <w:color w:val="auto"/>
                    </w:rPr>
                    <w:t>年平均质量浓度</w:t>
                  </w:r>
                </w:p>
              </w:tc>
              <w:tc>
                <w:tcPr>
                  <w:tcW w:w="984" w:type="dxa"/>
                  <w:tcBorders>
                    <w:tl2br w:val="nil"/>
                    <w:tr2bl w:val="nil"/>
                  </w:tcBorders>
                  <w:vAlign w:val="center"/>
                </w:tcPr>
                <w:p w14:paraId="087C2234">
                  <w:pPr>
                    <w:pStyle w:val="33"/>
                    <w:rPr>
                      <w:color w:val="auto"/>
                    </w:rPr>
                  </w:pPr>
                  <w:r>
                    <w:rPr>
                      <w:rFonts w:hint="eastAsia"/>
                      <w:color w:val="auto"/>
                    </w:rPr>
                    <w:t>33</w:t>
                  </w:r>
                </w:p>
              </w:tc>
              <w:tc>
                <w:tcPr>
                  <w:tcW w:w="915" w:type="dxa"/>
                  <w:tcBorders>
                    <w:tl2br w:val="nil"/>
                    <w:tr2bl w:val="nil"/>
                  </w:tcBorders>
                  <w:vAlign w:val="center"/>
                </w:tcPr>
                <w:p w14:paraId="1D38C9AF">
                  <w:pPr>
                    <w:pStyle w:val="33"/>
                    <w:rPr>
                      <w:color w:val="auto"/>
                    </w:rPr>
                  </w:pPr>
                  <w:r>
                    <w:rPr>
                      <w:rFonts w:hint="eastAsia"/>
                      <w:color w:val="auto"/>
                    </w:rPr>
                    <w:t>35</w:t>
                  </w:r>
                </w:p>
              </w:tc>
              <w:tc>
                <w:tcPr>
                  <w:tcW w:w="866" w:type="dxa"/>
                  <w:tcBorders>
                    <w:tl2br w:val="nil"/>
                    <w:tr2bl w:val="nil"/>
                  </w:tcBorders>
                  <w:vAlign w:val="center"/>
                </w:tcPr>
                <w:p w14:paraId="269DF92C">
                  <w:pPr>
                    <w:pStyle w:val="33"/>
                    <w:rPr>
                      <w:color w:val="auto"/>
                    </w:rPr>
                  </w:pPr>
                  <w:r>
                    <w:rPr>
                      <w:rFonts w:hint="eastAsia"/>
                      <w:color w:val="auto"/>
                    </w:rPr>
                    <w:t>94.3</w:t>
                  </w:r>
                </w:p>
              </w:tc>
              <w:tc>
                <w:tcPr>
                  <w:tcW w:w="597" w:type="dxa"/>
                  <w:tcBorders>
                    <w:tl2br w:val="nil"/>
                    <w:tr2bl w:val="nil"/>
                  </w:tcBorders>
                  <w:vAlign w:val="center"/>
                </w:tcPr>
                <w:p w14:paraId="156CC21D">
                  <w:pPr>
                    <w:pStyle w:val="33"/>
                    <w:rPr>
                      <w:color w:val="auto"/>
                    </w:rPr>
                  </w:pPr>
                  <w:r>
                    <w:rPr>
                      <w:color w:val="auto"/>
                    </w:rPr>
                    <w:t>达标</w:t>
                  </w:r>
                </w:p>
              </w:tc>
              <w:tc>
                <w:tcPr>
                  <w:tcW w:w="866" w:type="dxa"/>
                  <w:tcBorders>
                    <w:tl2br w:val="nil"/>
                    <w:tr2bl w:val="nil"/>
                  </w:tcBorders>
                  <w:vAlign w:val="center"/>
                </w:tcPr>
                <w:p w14:paraId="085F7DB3">
                  <w:pPr>
                    <w:pStyle w:val="33"/>
                    <w:rPr>
                      <w:color w:val="auto"/>
                    </w:rPr>
                  </w:pPr>
                  <w:r>
                    <w:rPr>
                      <w:rFonts w:hint="eastAsia"/>
                      <w:color w:val="auto"/>
                    </w:rPr>
                    <w:t>30</w:t>
                  </w:r>
                </w:p>
              </w:tc>
              <w:tc>
                <w:tcPr>
                  <w:tcW w:w="935" w:type="dxa"/>
                  <w:tcBorders>
                    <w:tl2br w:val="nil"/>
                    <w:tr2bl w:val="nil"/>
                  </w:tcBorders>
                  <w:vAlign w:val="center"/>
                </w:tcPr>
                <w:p w14:paraId="5265E11E">
                  <w:pPr>
                    <w:pStyle w:val="33"/>
                    <w:rPr>
                      <w:color w:val="auto"/>
                    </w:rPr>
                  </w:pPr>
                  <w:r>
                    <w:rPr>
                      <w:rFonts w:hint="eastAsia"/>
                      <w:color w:val="auto"/>
                    </w:rPr>
                    <w:t>110</w:t>
                  </w:r>
                </w:p>
              </w:tc>
              <w:tc>
                <w:tcPr>
                  <w:tcW w:w="537" w:type="dxa"/>
                  <w:tcBorders>
                    <w:tl2br w:val="nil"/>
                    <w:tr2bl w:val="nil"/>
                  </w:tcBorders>
                  <w:vAlign w:val="center"/>
                </w:tcPr>
                <w:p w14:paraId="297A125E">
                  <w:pPr>
                    <w:pStyle w:val="33"/>
                    <w:rPr>
                      <w:color w:val="auto"/>
                    </w:rPr>
                  </w:pPr>
                  <w:r>
                    <w:rPr>
                      <w:rFonts w:hint="eastAsia"/>
                      <w:color w:val="auto"/>
                    </w:rPr>
                    <w:t>超标</w:t>
                  </w:r>
                </w:p>
              </w:tc>
            </w:tr>
            <w:tr w14:paraId="707A26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752" w:type="dxa"/>
                  <w:tcBorders>
                    <w:tl2br w:val="nil"/>
                    <w:tr2bl w:val="nil"/>
                  </w:tcBorders>
                  <w:vAlign w:val="center"/>
                </w:tcPr>
                <w:p w14:paraId="0F5E8A31">
                  <w:pPr>
                    <w:pStyle w:val="33"/>
                    <w:rPr>
                      <w:color w:val="auto"/>
                    </w:rPr>
                  </w:pPr>
                  <w:r>
                    <w:rPr>
                      <w:color w:val="auto"/>
                    </w:rPr>
                    <w:t>CO</w:t>
                  </w:r>
                </w:p>
                <w:p w14:paraId="38E8372B">
                  <w:pPr>
                    <w:pStyle w:val="33"/>
                    <w:rPr>
                      <w:color w:val="auto"/>
                    </w:rPr>
                  </w:pPr>
                  <w:r>
                    <w:rPr>
                      <w:color w:val="auto"/>
                    </w:rPr>
                    <w:t>(mg/m</w:t>
                  </w:r>
                  <w:r>
                    <w:rPr>
                      <w:color w:val="auto"/>
                      <w:vertAlign w:val="superscript"/>
                    </w:rPr>
                    <w:t>3</w:t>
                  </w:r>
                  <w:r>
                    <w:rPr>
                      <w:color w:val="auto"/>
                    </w:rPr>
                    <w:t>)</w:t>
                  </w:r>
                </w:p>
              </w:tc>
              <w:tc>
                <w:tcPr>
                  <w:tcW w:w="1544" w:type="dxa"/>
                  <w:tcBorders>
                    <w:tl2br w:val="nil"/>
                    <w:tr2bl w:val="nil"/>
                  </w:tcBorders>
                  <w:vAlign w:val="center"/>
                </w:tcPr>
                <w:p w14:paraId="3F993D65">
                  <w:pPr>
                    <w:pStyle w:val="33"/>
                    <w:rPr>
                      <w:color w:val="auto"/>
                    </w:rPr>
                  </w:pPr>
                  <w:r>
                    <w:rPr>
                      <w:color w:val="auto"/>
                    </w:rPr>
                    <w:t>第95%百分位数</w:t>
                  </w:r>
                </w:p>
                <w:p w14:paraId="74D51E2F">
                  <w:pPr>
                    <w:pStyle w:val="33"/>
                    <w:rPr>
                      <w:color w:val="auto"/>
                    </w:rPr>
                  </w:pPr>
                  <w:r>
                    <w:rPr>
                      <w:color w:val="auto"/>
                    </w:rPr>
                    <w:t>24小时平均浓度</w:t>
                  </w:r>
                </w:p>
              </w:tc>
              <w:tc>
                <w:tcPr>
                  <w:tcW w:w="984" w:type="dxa"/>
                  <w:tcBorders>
                    <w:tl2br w:val="nil"/>
                    <w:tr2bl w:val="nil"/>
                  </w:tcBorders>
                  <w:vAlign w:val="center"/>
                </w:tcPr>
                <w:p w14:paraId="2EF3F0C1">
                  <w:pPr>
                    <w:pStyle w:val="33"/>
                    <w:rPr>
                      <w:color w:val="auto"/>
                    </w:rPr>
                  </w:pPr>
                  <w:r>
                    <w:rPr>
                      <w:color w:val="auto"/>
                    </w:rPr>
                    <w:t>1.</w:t>
                  </w:r>
                  <w:r>
                    <w:rPr>
                      <w:rFonts w:hint="eastAsia"/>
                      <w:color w:val="auto"/>
                    </w:rPr>
                    <w:t>2</w:t>
                  </w:r>
                  <w:r>
                    <w:rPr>
                      <w:color w:val="auto"/>
                    </w:rPr>
                    <w:t>mg/m</w:t>
                  </w:r>
                  <w:r>
                    <w:rPr>
                      <w:color w:val="auto"/>
                      <w:vertAlign w:val="superscript"/>
                    </w:rPr>
                    <w:t>3</w:t>
                  </w:r>
                </w:p>
              </w:tc>
              <w:tc>
                <w:tcPr>
                  <w:tcW w:w="915" w:type="dxa"/>
                  <w:tcBorders>
                    <w:tl2br w:val="nil"/>
                    <w:tr2bl w:val="nil"/>
                  </w:tcBorders>
                  <w:vAlign w:val="center"/>
                </w:tcPr>
                <w:p w14:paraId="5F67E35E">
                  <w:pPr>
                    <w:pStyle w:val="33"/>
                    <w:rPr>
                      <w:color w:val="auto"/>
                    </w:rPr>
                  </w:pPr>
                  <w:r>
                    <w:rPr>
                      <w:color w:val="auto"/>
                    </w:rPr>
                    <w:t>4.0mg/m</w:t>
                  </w:r>
                  <w:r>
                    <w:rPr>
                      <w:color w:val="auto"/>
                      <w:vertAlign w:val="superscript"/>
                    </w:rPr>
                    <w:t>3</w:t>
                  </w:r>
                </w:p>
              </w:tc>
              <w:tc>
                <w:tcPr>
                  <w:tcW w:w="866" w:type="dxa"/>
                  <w:tcBorders>
                    <w:tl2br w:val="nil"/>
                    <w:tr2bl w:val="nil"/>
                  </w:tcBorders>
                  <w:vAlign w:val="center"/>
                </w:tcPr>
                <w:p w14:paraId="2F8A8363">
                  <w:pPr>
                    <w:pStyle w:val="33"/>
                    <w:rPr>
                      <w:color w:val="auto"/>
                    </w:rPr>
                  </w:pPr>
                  <w:r>
                    <w:rPr>
                      <w:rFonts w:hint="eastAsia"/>
                      <w:color w:val="auto"/>
                    </w:rPr>
                    <w:t>30</w:t>
                  </w:r>
                </w:p>
              </w:tc>
              <w:tc>
                <w:tcPr>
                  <w:tcW w:w="597" w:type="dxa"/>
                  <w:tcBorders>
                    <w:tl2br w:val="nil"/>
                    <w:tr2bl w:val="nil"/>
                  </w:tcBorders>
                  <w:vAlign w:val="center"/>
                </w:tcPr>
                <w:p w14:paraId="6FDF3891">
                  <w:pPr>
                    <w:pStyle w:val="33"/>
                    <w:rPr>
                      <w:color w:val="auto"/>
                    </w:rPr>
                  </w:pPr>
                  <w:r>
                    <w:rPr>
                      <w:color w:val="auto"/>
                    </w:rPr>
                    <w:t>达标</w:t>
                  </w:r>
                </w:p>
              </w:tc>
              <w:tc>
                <w:tcPr>
                  <w:tcW w:w="866" w:type="dxa"/>
                  <w:tcBorders>
                    <w:tl2br w:val="nil"/>
                    <w:tr2bl w:val="nil"/>
                  </w:tcBorders>
                  <w:vAlign w:val="center"/>
                </w:tcPr>
                <w:p w14:paraId="6189F714">
                  <w:pPr>
                    <w:pStyle w:val="33"/>
                    <w:rPr>
                      <w:color w:val="auto"/>
                    </w:rPr>
                  </w:pPr>
                  <w:r>
                    <w:rPr>
                      <w:color w:val="auto"/>
                    </w:rPr>
                    <w:t>4.0mg/m</w:t>
                  </w:r>
                  <w:r>
                    <w:rPr>
                      <w:color w:val="auto"/>
                      <w:vertAlign w:val="superscript"/>
                    </w:rPr>
                    <w:t>3</w:t>
                  </w:r>
                </w:p>
              </w:tc>
              <w:tc>
                <w:tcPr>
                  <w:tcW w:w="935" w:type="dxa"/>
                  <w:tcBorders>
                    <w:tl2br w:val="nil"/>
                    <w:tr2bl w:val="nil"/>
                  </w:tcBorders>
                  <w:vAlign w:val="center"/>
                </w:tcPr>
                <w:p w14:paraId="04D8A365">
                  <w:pPr>
                    <w:pStyle w:val="33"/>
                    <w:rPr>
                      <w:color w:val="auto"/>
                    </w:rPr>
                  </w:pPr>
                  <w:r>
                    <w:rPr>
                      <w:rFonts w:hint="eastAsia"/>
                      <w:color w:val="auto"/>
                    </w:rPr>
                    <w:t>30</w:t>
                  </w:r>
                </w:p>
              </w:tc>
              <w:tc>
                <w:tcPr>
                  <w:tcW w:w="537" w:type="dxa"/>
                  <w:tcBorders>
                    <w:tl2br w:val="nil"/>
                    <w:tr2bl w:val="nil"/>
                  </w:tcBorders>
                  <w:vAlign w:val="center"/>
                </w:tcPr>
                <w:p w14:paraId="0601071A">
                  <w:pPr>
                    <w:pStyle w:val="33"/>
                    <w:rPr>
                      <w:color w:val="auto"/>
                    </w:rPr>
                  </w:pPr>
                  <w:r>
                    <w:rPr>
                      <w:color w:val="auto"/>
                    </w:rPr>
                    <w:t>达标</w:t>
                  </w:r>
                </w:p>
              </w:tc>
            </w:tr>
            <w:tr w14:paraId="489440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752" w:type="dxa"/>
                  <w:tcBorders>
                    <w:tl2br w:val="nil"/>
                    <w:tr2bl w:val="nil"/>
                  </w:tcBorders>
                  <w:vAlign w:val="center"/>
                </w:tcPr>
                <w:p w14:paraId="192E217F">
                  <w:pPr>
                    <w:pStyle w:val="33"/>
                    <w:rPr>
                      <w:color w:val="auto"/>
                    </w:rPr>
                  </w:pPr>
                  <w:r>
                    <w:rPr>
                      <w:color w:val="auto"/>
                    </w:rPr>
                    <w:t>O</w:t>
                  </w:r>
                  <w:r>
                    <w:rPr>
                      <w:color w:val="auto"/>
                      <w:vertAlign w:val="subscript"/>
                    </w:rPr>
                    <w:t>3</w:t>
                  </w:r>
                </w:p>
              </w:tc>
              <w:tc>
                <w:tcPr>
                  <w:tcW w:w="1544" w:type="dxa"/>
                  <w:tcBorders>
                    <w:tl2br w:val="nil"/>
                    <w:tr2bl w:val="nil"/>
                  </w:tcBorders>
                  <w:vAlign w:val="center"/>
                </w:tcPr>
                <w:p w14:paraId="19C7B505">
                  <w:pPr>
                    <w:pStyle w:val="33"/>
                    <w:rPr>
                      <w:color w:val="auto"/>
                    </w:rPr>
                  </w:pPr>
                  <w:r>
                    <w:rPr>
                      <w:color w:val="auto"/>
                    </w:rPr>
                    <w:t>第90%百分位数日最大8h平均浓度</w:t>
                  </w:r>
                </w:p>
              </w:tc>
              <w:tc>
                <w:tcPr>
                  <w:tcW w:w="984" w:type="dxa"/>
                  <w:tcBorders>
                    <w:tl2br w:val="nil"/>
                    <w:tr2bl w:val="nil"/>
                  </w:tcBorders>
                  <w:vAlign w:val="center"/>
                </w:tcPr>
                <w:p w14:paraId="1D7836EB">
                  <w:pPr>
                    <w:pStyle w:val="33"/>
                    <w:rPr>
                      <w:color w:val="auto"/>
                    </w:rPr>
                  </w:pPr>
                  <w:r>
                    <w:rPr>
                      <w:rFonts w:hint="eastAsia"/>
                      <w:color w:val="auto"/>
                    </w:rPr>
                    <w:t>125</w:t>
                  </w:r>
                </w:p>
              </w:tc>
              <w:tc>
                <w:tcPr>
                  <w:tcW w:w="915" w:type="dxa"/>
                  <w:tcBorders>
                    <w:tl2br w:val="nil"/>
                    <w:tr2bl w:val="nil"/>
                  </w:tcBorders>
                  <w:vAlign w:val="center"/>
                </w:tcPr>
                <w:p w14:paraId="27DF8E65">
                  <w:pPr>
                    <w:pStyle w:val="33"/>
                    <w:rPr>
                      <w:color w:val="auto"/>
                    </w:rPr>
                  </w:pPr>
                  <w:r>
                    <w:rPr>
                      <w:color w:val="auto"/>
                    </w:rPr>
                    <w:t>160</w:t>
                  </w:r>
                </w:p>
              </w:tc>
              <w:tc>
                <w:tcPr>
                  <w:tcW w:w="866" w:type="dxa"/>
                  <w:tcBorders>
                    <w:tl2br w:val="nil"/>
                    <w:tr2bl w:val="nil"/>
                  </w:tcBorders>
                  <w:vAlign w:val="center"/>
                </w:tcPr>
                <w:p w14:paraId="466674EF">
                  <w:pPr>
                    <w:pStyle w:val="33"/>
                    <w:rPr>
                      <w:color w:val="auto"/>
                    </w:rPr>
                  </w:pPr>
                  <w:r>
                    <w:rPr>
                      <w:rFonts w:hint="eastAsia"/>
                      <w:color w:val="auto"/>
                    </w:rPr>
                    <w:t>78.1</w:t>
                  </w:r>
                </w:p>
              </w:tc>
              <w:tc>
                <w:tcPr>
                  <w:tcW w:w="597" w:type="dxa"/>
                  <w:tcBorders>
                    <w:tl2br w:val="nil"/>
                    <w:tr2bl w:val="nil"/>
                  </w:tcBorders>
                  <w:vAlign w:val="center"/>
                </w:tcPr>
                <w:p w14:paraId="63A0D029">
                  <w:pPr>
                    <w:pStyle w:val="33"/>
                    <w:rPr>
                      <w:color w:val="auto"/>
                    </w:rPr>
                  </w:pPr>
                  <w:r>
                    <w:rPr>
                      <w:color w:val="auto"/>
                    </w:rPr>
                    <w:t>达标</w:t>
                  </w:r>
                </w:p>
              </w:tc>
              <w:tc>
                <w:tcPr>
                  <w:tcW w:w="866" w:type="dxa"/>
                  <w:tcBorders>
                    <w:tl2br w:val="nil"/>
                    <w:tr2bl w:val="nil"/>
                  </w:tcBorders>
                  <w:vAlign w:val="center"/>
                </w:tcPr>
                <w:p w14:paraId="2B5E9ED8">
                  <w:pPr>
                    <w:pStyle w:val="33"/>
                    <w:rPr>
                      <w:color w:val="auto"/>
                    </w:rPr>
                  </w:pPr>
                  <w:r>
                    <w:rPr>
                      <w:color w:val="auto"/>
                    </w:rPr>
                    <w:t>160</w:t>
                  </w:r>
                </w:p>
              </w:tc>
              <w:tc>
                <w:tcPr>
                  <w:tcW w:w="935" w:type="dxa"/>
                  <w:tcBorders>
                    <w:tl2br w:val="nil"/>
                    <w:tr2bl w:val="nil"/>
                  </w:tcBorders>
                  <w:vAlign w:val="center"/>
                </w:tcPr>
                <w:p w14:paraId="68009829">
                  <w:pPr>
                    <w:pStyle w:val="33"/>
                    <w:rPr>
                      <w:color w:val="auto"/>
                    </w:rPr>
                  </w:pPr>
                  <w:r>
                    <w:rPr>
                      <w:rFonts w:hint="eastAsia"/>
                      <w:color w:val="auto"/>
                    </w:rPr>
                    <w:t>78.1</w:t>
                  </w:r>
                </w:p>
              </w:tc>
              <w:tc>
                <w:tcPr>
                  <w:tcW w:w="537" w:type="dxa"/>
                  <w:tcBorders>
                    <w:tl2br w:val="nil"/>
                    <w:tr2bl w:val="nil"/>
                  </w:tcBorders>
                  <w:vAlign w:val="center"/>
                </w:tcPr>
                <w:p w14:paraId="79DA58F9">
                  <w:pPr>
                    <w:pStyle w:val="33"/>
                    <w:rPr>
                      <w:color w:val="auto"/>
                    </w:rPr>
                  </w:pPr>
                  <w:r>
                    <w:rPr>
                      <w:color w:val="auto"/>
                    </w:rPr>
                    <w:t>达标</w:t>
                  </w:r>
                </w:p>
              </w:tc>
            </w:tr>
          </w:tbl>
          <w:p w14:paraId="7A895A97">
            <w:pPr>
              <w:ind w:firstLine="480"/>
              <w:rPr>
                <w:color w:val="auto"/>
              </w:rPr>
            </w:pPr>
            <w:r>
              <w:rPr>
                <w:color w:val="auto"/>
              </w:rPr>
              <w:t>根据《环境影响评价技术导则 大气环境》（HJ2.2—2018）要求，城市环境空气质量达标情况评价指标为SO</w:t>
            </w:r>
            <w:r>
              <w:rPr>
                <w:rFonts w:hint="eastAsia"/>
                <w:color w:val="auto"/>
                <w:vertAlign w:val="subscript"/>
              </w:rPr>
              <w:t>2</w:t>
            </w:r>
            <w:r>
              <w:rPr>
                <w:color w:val="auto"/>
              </w:rPr>
              <w:t>、NO</w:t>
            </w:r>
            <w:r>
              <w:rPr>
                <w:rFonts w:hint="eastAsia"/>
                <w:color w:val="auto"/>
                <w:vertAlign w:val="subscript"/>
              </w:rPr>
              <w:t>2</w:t>
            </w:r>
            <w:r>
              <w:rPr>
                <w:color w:val="auto"/>
              </w:rPr>
              <w:t>、PM</w:t>
            </w:r>
            <w:r>
              <w:rPr>
                <w:rFonts w:hint="eastAsia"/>
                <w:color w:val="auto"/>
                <w:vertAlign w:val="subscript"/>
              </w:rPr>
              <w:t>10</w:t>
            </w:r>
            <w:r>
              <w:rPr>
                <w:color w:val="auto"/>
              </w:rPr>
              <w:t>、PM</w:t>
            </w:r>
            <w:r>
              <w:rPr>
                <w:rFonts w:hint="eastAsia"/>
                <w:color w:val="auto"/>
                <w:vertAlign w:val="subscript"/>
              </w:rPr>
              <w:t>2.5</w:t>
            </w:r>
            <w:r>
              <w:rPr>
                <w:color w:val="auto"/>
              </w:rPr>
              <w:t>、CO和O</w:t>
            </w:r>
            <w:r>
              <w:rPr>
                <w:rFonts w:hint="eastAsia"/>
                <w:color w:val="auto"/>
                <w:vertAlign w:val="subscript"/>
              </w:rPr>
              <w:t>3</w:t>
            </w:r>
            <w:r>
              <w:rPr>
                <w:color w:val="auto"/>
              </w:rPr>
              <w:t>，六项污染物全部达标即为城市环境空气质量达标。根据国家或地方生态环境主管部门公开发布的城市环境空气质量达标情况，判断项目所在区域是否属于达标区。</w:t>
            </w:r>
          </w:p>
          <w:p w14:paraId="026539D0">
            <w:pPr>
              <w:ind w:firstLine="480"/>
              <w:rPr>
                <w:color w:val="auto"/>
              </w:rPr>
            </w:pPr>
            <w:r>
              <w:rPr>
                <w:color w:val="auto"/>
              </w:rPr>
              <w:t>本项目引用《2025年柳州市柳江区空气自动监测结果统计表》中SO</w:t>
            </w:r>
            <w:r>
              <w:rPr>
                <w:rFonts w:hint="eastAsia"/>
                <w:color w:val="auto"/>
                <w:vertAlign w:val="subscript"/>
              </w:rPr>
              <w:t>2</w:t>
            </w:r>
            <w:r>
              <w:rPr>
                <w:color w:val="auto"/>
              </w:rPr>
              <w:t>、NO</w:t>
            </w:r>
            <w:r>
              <w:rPr>
                <w:rFonts w:hint="eastAsia"/>
                <w:color w:val="auto"/>
                <w:vertAlign w:val="subscript"/>
              </w:rPr>
              <w:t>2</w:t>
            </w:r>
            <w:r>
              <w:rPr>
                <w:color w:val="auto"/>
              </w:rPr>
              <w:t>、PM</w:t>
            </w:r>
            <w:r>
              <w:rPr>
                <w:rFonts w:hint="eastAsia"/>
                <w:color w:val="auto"/>
                <w:vertAlign w:val="subscript"/>
              </w:rPr>
              <w:t>10</w:t>
            </w:r>
            <w:r>
              <w:rPr>
                <w:color w:val="auto"/>
              </w:rPr>
              <w:t>、PM</w:t>
            </w:r>
            <w:r>
              <w:rPr>
                <w:rFonts w:hint="eastAsia"/>
                <w:color w:val="auto"/>
                <w:vertAlign w:val="subscript"/>
              </w:rPr>
              <w:t>2.5</w:t>
            </w:r>
            <w:r>
              <w:rPr>
                <w:color w:val="auto"/>
              </w:rPr>
              <w:t>、CO、O</w:t>
            </w:r>
            <w:r>
              <w:rPr>
                <w:rFonts w:hint="eastAsia"/>
                <w:color w:val="auto"/>
                <w:vertAlign w:val="subscript"/>
              </w:rPr>
              <w:t>3</w:t>
            </w:r>
            <w:r>
              <w:rPr>
                <w:color w:val="auto"/>
              </w:rPr>
              <w:t>六项基本污染物监测统计数据进行区域环境空气质量现状评价。由表3-1可知，按《环境空气质量标准》（GB3095—2012）及其2018年修改单中的二级标准评价，SO</w:t>
            </w:r>
            <w:r>
              <w:rPr>
                <w:rFonts w:hint="eastAsia"/>
                <w:color w:val="auto"/>
                <w:vertAlign w:val="subscript"/>
              </w:rPr>
              <w:t>2</w:t>
            </w:r>
            <w:r>
              <w:rPr>
                <w:color w:val="auto"/>
              </w:rPr>
              <w:t>、NO</w:t>
            </w:r>
            <w:r>
              <w:rPr>
                <w:rFonts w:hint="eastAsia"/>
                <w:color w:val="auto"/>
                <w:vertAlign w:val="subscript"/>
              </w:rPr>
              <w:t>2</w:t>
            </w:r>
            <w:r>
              <w:rPr>
                <w:color w:val="auto"/>
              </w:rPr>
              <w:t>、PM</w:t>
            </w:r>
            <w:r>
              <w:rPr>
                <w:rFonts w:hint="eastAsia"/>
                <w:color w:val="auto"/>
                <w:vertAlign w:val="subscript"/>
              </w:rPr>
              <w:t>10</w:t>
            </w:r>
            <w:r>
              <w:rPr>
                <w:color w:val="auto"/>
              </w:rPr>
              <w:t>、PM</w:t>
            </w:r>
            <w:r>
              <w:rPr>
                <w:rFonts w:hint="eastAsia"/>
                <w:color w:val="auto"/>
                <w:vertAlign w:val="subscript"/>
              </w:rPr>
              <w:t>2.5</w:t>
            </w:r>
            <w:r>
              <w:rPr>
                <w:color w:val="auto"/>
              </w:rPr>
              <w:t>、CO、O</w:t>
            </w:r>
            <w:r>
              <w:rPr>
                <w:rFonts w:hint="eastAsia"/>
                <w:color w:val="auto"/>
                <w:vertAlign w:val="subscript"/>
              </w:rPr>
              <w:t>3</w:t>
            </w:r>
            <w:r>
              <w:rPr>
                <w:color w:val="auto"/>
              </w:rPr>
              <w:t>均可满足相应标准限值要求。</w:t>
            </w:r>
          </w:p>
          <w:p w14:paraId="006783DC">
            <w:pPr>
              <w:ind w:firstLine="480"/>
              <w:rPr>
                <w:color w:val="auto"/>
              </w:rPr>
            </w:pPr>
            <w:r>
              <w:rPr>
                <w:color w:val="auto"/>
              </w:rPr>
              <w:t>鉴于《环境空气质量标准》（GB3095—2026）已于2026年3月1日起实施，且2026年3月1日至2030年12月31日执行过渡阶段浓度限值，本次评价同步按GB3095—2026过渡阶段二级浓度限值进行判定。评价结果表明，SO</w:t>
            </w:r>
            <w:r>
              <w:rPr>
                <w:rFonts w:hint="eastAsia"/>
                <w:color w:val="auto"/>
                <w:vertAlign w:val="subscript"/>
              </w:rPr>
              <w:t>2</w:t>
            </w:r>
            <w:r>
              <w:rPr>
                <w:color w:val="auto"/>
              </w:rPr>
              <w:t>、NO</w:t>
            </w:r>
            <w:r>
              <w:rPr>
                <w:rFonts w:hint="eastAsia"/>
                <w:color w:val="auto"/>
                <w:vertAlign w:val="subscript"/>
              </w:rPr>
              <w:t>2</w:t>
            </w:r>
            <w:r>
              <w:rPr>
                <w:color w:val="auto"/>
              </w:rPr>
              <w:t>、PM</w:t>
            </w:r>
            <w:r>
              <w:rPr>
                <w:rFonts w:hint="eastAsia"/>
                <w:color w:val="auto"/>
                <w:vertAlign w:val="subscript"/>
              </w:rPr>
              <w:t>10</w:t>
            </w:r>
            <w:r>
              <w:rPr>
                <w:color w:val="auto"/>
              </w:rPr>
              <w:t>、CO、O</w:t>
            </w:r>
            <w:r>
              <w:rPr>
                <w:rFonts w:hint="eastAsia"/>
                <w:color w:val="auto"/>
                <w:vertAlign w:val="subscript"/>
              </w:rPr>
              <w:t>3</w:t>
            </w:r>
            <w:r>
              <w:rPr>
                <w:color w:val="auto"/>
              </w:rPr>
              <w:t>均满足相应限值要求，PM</w:t>
            </w:r>
            <w:r>
              <w:rPr>
                <w:rFonts w:hint="eastAsia"/>
                <w:color w:val="auto"/>
                <w:vertAlign w:val="subscript"/>
              </w:rPr>
              <w:t>2.5</w:t>
            </w:r>
            <w:r>
              <w:rPr>
                <w:color w:val="auto"/>
              </w:rPr>
              <w:t>年均浓度为33μg/m</w:t>
            </w:r>
            <w:r>
              <w:rPr>
                <w:rFonts w:hint="eastAsia"/>
                <w:color w:val="auto"/>
                <w:vertAlign w:val="superscript"/>
              </w:rPr>
              <w:t>3</w:t>
            </w:r>
            <w:r>
              <w:rPr>
                <w:color w:val="auto"/>
              </w:rPr>
              <w:t>，超过GB3095—2026过渡阶段二级限值30μg/m</w:t>
            </w:r>
            <w:r>
              <w:rPr>
                <w:rFonts w:hint="eastAsia"/>
                <w:color w:val="auto"/>
                <w:vertAlign w:val="superscript"/>
              </w:rPr>
              <w:t>3</w:t>
            </w:r>
            <w:r>
              <w:rPr>
                <w:color w:val="auto"/>
              </w:rPr>
              <w:t>，占标率为110%。</w:t>
            </w:r>
          </w:p>
          <w:p w14:paraId="1E3A313E">
            <w:pPr>
              <w:ind w:firstLine="480"/>
              <w:rPr>
                <w:color w:val="auto"/>
              </w:rPr>
            </w:pPr>
            <w:r>
              <w:rPr>
                <w:color w:val="auto"/>
              </w:rPr>
              <w:t>因此，按现行《环境空气质量标准》（GB3095—2026）评价，项目所在区域环境空气质量判定为不达标区，超标因子为PM</w:t>
            </w:r>
            <w:r>
              <w:rPr>
                <w:rFonts w:hint="eastAsia"/>
                <w:color w:val="auto"/>
                <w:vertAlign w:val="subscript"/>
              </w:rPr>
              <w:t>2.5</w:t>
            </w:r>
            <w:r>
              <w:rPr>
                <w:color w:val="auto"/>
              </w:rPr>
              <w:t>。项目运营期废气污染物经相应治理措施处理后达标排放，排放量较小，不会改变区域环境空气质量功能类别。后续区域PM</w:t>
            </w:r>
            <w:r>
              <w:rPr>
                <w:rFonts w:hint="eastAsia"/>
                <w:color w:val="auto"/>
                <w:vertAlign w:val="subscript"/>
              </w:rPr>
              <w:t>2.5</w:t>
            </w:r>
            <w:r>
              <w:rPr>
                <w:color w:val="auto"/>
              </w:rPr>
              <w:t>改善主要依托地方大气污染防治措施及空气质量改善计划的持续实施。</w:t>
            </w:r>
          </w:p>
          <w:p w14:paraId="397FE957">
            <w:pPr>
              <w:ind w:firstLine="480"/>
              <w:rPr>
                <w:color w:val="auto"/>
              </w:rPr>
            </w:pPr>
            <w:r>
              <w:rPr>
                <w:rFonts w:hint="eastAsia"/>
                <w:color w:val="auto"/>
              </w:rPr>
              <w:t>（2）</w:t>
            </w:r>
            <w:r>
              <w:rPr>
                <w:color w:val="auto"/>
              </w:rPr>
              <w:t>特征污染物环境质量现状</w:t>
            </w:r>
          </w:p>
          <w:p w14:paraId="7B2785AB">
            <w:pPr>
              <w:ind w:firstLine="480"/>
              <w:rPr>
                <w:color w:val="auto"/>
              </w:rPr>
            </w:pPr>
            <w:r>
              <w:rPr>
                <w:color w:val="auto"/>
              </w:rPr>
              <w:t>根据《建设项目环境影响报告表编制技术指南（污染影响类）（试行）》</w:t>
            </w:r>
            <w:r>
              <w:rPr>
                <w:rFonts w:hint="eastAsia" w:asciiTheme="majorEastAsia" w:hAnsiTheme="majorEastAsia" w:eastAsiaTheme="majorEastAsia" w:cstheme="majorEastAsia"/>
                <w:color w:val="auto"/>
              </w:rPr>
              <w:t>“</w:t>
            </w:r>
            <w:r>
              <w:rPr>
                <w:color w:val="auto"/>
              </w:rPr>
              <w:t>排放国家、地方环境空气质量标准中有标准限值要求的特征污染物时，引用建设项目周边5千米范围内近3年的现有监测数据，无相关数据的选择当季主导风向下风向1个点位补充不少于3天的监测数据。</w:t>
            </w:r>
            <w:r>
              <w:rPr>
                <w:rFonts w:hint="eastAsia" w:asciiTheme="majorEastAsia" w:hAnsiTheme="majorEastAsia" w:eastAsiaTheme="majorEastAsia" w:cstheme="majorEastAsia"/>
                <w:color w:val="auto"/>
              </w:rPr>
              <w:t>”</w:t>
            </w:r>
          </w:p>
          <w:p w14:paraId="363FF3DF">
            <w:pPr>
              <w:ind w:firstLine="480"/>
              <w:rPr>
                <w:color w:val="auto"/>
              </w:rPr>
            </w:pPr>
            <w:r>
              <w:rPr>
                <w:color w:val="auto"/>
              </w:rPr>
              <w:t>项目所在区域TSP环境质量现状引用《广西锦江火浪新能源科技有限公司新能源热泵智能制造项目二期工程环境影响报告表》（报告编号：ZL2402260301）中的监测数据</w:t>
            </w:r>
            <w:r>
              <w:rPr>
                <w:rFonts w:hint="eastAsia"/>
                <w:color w:val="auto"/>
              </w:rPr>
              <w:t>（附件11）</w:t>
            </w:r>
            <w:r>
              <w:rPr>
                <w:color w:val="auto"/>
              </w:rPr>
              <w:t>。该监测点位于本项目南侧约</w:t>
            </w:r>
            <w:r>
              <w:rPr>
                <w:rFonts w:hint="eastAsia"/>
                <w:color w:val="auto"/>
              </w:rPr>
              <w:t>252</w:t>
            </w:r>
            <w:r>
              <w:rPr>
                <w:color w:val="auto"/>
              </w:rPr>
              <w:t>0m处，监测时间为2024年2月29日至3月2日，连续监测3天，监测因子为TSP。满足《建设项目环境影响报告表编制技术指南（污染影响类）》的要求。监测信息如下：</w:t>
            </w:r>
          </w:p>
          <w:p w14:paraId="4E7B8A80">
            <w:pPr>
              <w:pStyle w:val="35"/>
              <w:rPr>
                <w:rFonts w:hint="default"/>
                <w:color w:val="auto"/>
              </w:rPr>
            </w:pPr>
            <w:r>
              <w:rPr>
                <w:color w:val="auto"/>
              </w:rPr>
              <w:t>表3-2 监测信息一览表</w:t>
            </w:r>
          </w:p>
          <w:tbl>
            <w:tblPr>
              <w:tblStyle w:val="43"/>
              <w:tblW w:w="7996"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2351"/>
              <w:gridCol w:w="1629"/>
              <w:gridCol w:w="1178"/>
              <w:gridCol w:w="1419"/>
              <w:gridCol w:w="1419"/>
            </w:tblGrid>
            <w:tr w14:paraId="739D9D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2351" w:type="dxa"/>
                  <w:tcBorders>
                    <w:tl2br w:val="nil"/>
                    <w:tr2bl w:val="nil"/>
                  </w:tcBorders>
                  <w:vAlign w:val="center"/>
                </w:tcPr>
                <w:p w14:paraId="747D3E31">
                  <w:pPr>
                    <w:pStyle w:val="33"/>
                    <w:rPr>
                      <w:color w:val="auto"/>
                    </w:rPr>
                  </w:pPr>
                  <w:r>
                    <w:rPr>
                      <w:color w:val="auto"/>
                    </w:rPr>
                    <w:t>监测点名称</w:t>
                  </w:r>
                </w:p>
              </w:tc>
              <w:tc>
                <w:tcPr>
                  <w:tcW w:w="1629" w:type="dxa"/>
                  <w:tcBorders>
                    <w:tl2br w:val="nil"/>
                    <w:tr2bl w:val="nil"/>
                  </w:tcBorders>
                  <w:vAlign w:val="center"/>
                </w:tcPr>
                <w:p w14:paraId="03C7DB03">
                  <w:pPr>
                    <w:pStyle w:val="33"/>
                    <w:rPr>
                      <w:color w:val="auto"/>
                    </w:rPr>
                  </w:pPr>
                  <w:r>
                    <w:rPr>
                      <w:color w:val="auto"/>
                    </w:rPr>
                    <w:t>与本项目位置关系</w:t>
                  </w:r>
                </w:p>
              </w:tc>
              <w:tc>
                <w:tcPr>
                  <w:tcW w:w="1178" w:type="dxa"/>
                  <w:tcBorders>
                    <w:tl2br w:val="nil"/>
                    <w:tr2bl w:val="nil"/>
                  </w:tcBorders>
                  <w:vAlign w:val="center"/>
                </w:tcPr>
                <w:p w14:paraId="2529A349">
                  <w:pPr>
                    <w:pStyle w:val="33"/>
                    <w:rPr>
                      <w:color w:val="auto"/>
                    </w:rPr>
                  </w:pPr>
                  <w:r>
                    <w:rPr>
                      <w:color w:val="auto"/>
                    </w:rPr>
                    <w:t>监测因子</w:t>
                  </w:r>
                </w:p>
              </w:tc>
              <w:tc>
                <w:tcPr>
                  <w:tcW w:w="1419" w:type="dxa"/>
                  <w:tcBorders>
                    <w:tl2br w:val="nil"/>
                    <w:tr2bl w:val="nil"/>
                  </w:tcBorders>
                  <w:vAlign w:val="center"/>
                </w:tcPr>
                <w:p w14:paraId="4969ECE7">
                  <w:pPr>
                    <w:pStyle w:val="33"/>
                    <w:rPr>
                      <w:color w:val="auto"/>
                    </w:rPr>
                  </w:pPr>
                  <w:r>
                    <w:rPr>
                      <w:color w:val="auto"/>
                    </w:rPr>
                    <w:t>监测时段</w:t>
                  </w:r>
                </w:p>
              </w:tc>
              <w:tc>
                <w:tcPr>
                  <w:tcW w:w="1419" w:type="dxa"/>
                  <w:tcBorders>
                    <w:tl2br w:val="nil"/>
                    <w:tr2bl w:val="nil"/>
                  </w:tcBorders>
                  <w:vAlign w:val="center"/>
                </w:tcPr>
                <w:p w14:paraId="7FB23B65">
                  <w:pPr>
                    <w:pStyle w:val="33"/>
                    <w:rPr>
                      <w:color w:val="auto"/>
                    </w:rPr>
                  </w:pPr>
                  <w:r>
                    <w:rPr>
                      <w:color w:val="auto"/>
                    </w:rPr>
                    <w:t>监测时间</w:t>
                  </w:r>
                </w:p>
              </w:tc>
            </w:tr>
            <w:tr w14:paraId="52A0F5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72" w:hRule="atLeast"/>
                <w:jc w:val="center"/>
              </w:trPr>
              <w:tc>
                <w:tcPr>
                  <w:tcW w:w="2351" w:type="dxa"/>
                  <w:tcBorders>
                    <w:tl2br w:val="nil"/>
                    <w:tr2bl w:val="nil"/>
                  </w:tcBorders>
                  <w:vAlign w:val="center"/>
                </w:tcPr>
                <w:p w14:paraId="00C19B0C">
                  <w:pPr>
                    <w:pStyle w:val="33"/>
                    <w:rPr>
                      <w:color w:val="auto"/>
                    </w:rPr>
                  </w:pPr>
                  <w:r>
                    <w:rPr>
                      <w:color w:val="auto"/>
                    </w:rPr>
                    <w:t>广西锦江火浪新能源科技有限公司新能源热泵智能制造项目二期工程厂界</w:t>
                  </w:r>
                  <w:r>
                    <w:rPr>
                      <w:rFonts w:hint="eastAsia"/>
                      <w:color w:val="auto"/>
                    </w:rPr>
                    <w:t>外南面</w:t>
                  </w:r>
                </w:p>
              </w:tc>
              <w:tc>
                <w:tcPr>
                  <w:tcW w:w="1629" w:type="dxa"/>
                  <w:tcBorders>
                    <w:tl2br w:val="nil"/>
                    <w:tr2bl w:val="nil"/>
                  </w:tcBorders>
                  <w:vAlign w:val="center"/>
                </w:tcPr>
                <w:p w14:paraId="1E65C326">
                  <w:pPr>
                    <w:pStyle w:val="33"/>
                    <w:rPr>
                      <w:color w:val="auto"/>
                    </w:rPr>
                  </w:pPr>
                  <w:r>
                    <w:rPr>
                      <w:color w:val="auto"/>
                    </w:rPr>
                    <w:t>南/</w:t>
                  </w:r>
                  <w:r>
                    <w:rPr>
                      <w:rFonts w:hint="eastAsia"/>
                      <w:color w:val="auto"/>
                    </w:rPr>
                    <w:t>252</w:t>
                  </w:r>
                  <w:r>
                    <w:rPr>
                      <w:color w:val="auto"/>
                    </w:rPr>
                    <w:t>0m</w:t>
                  </w:r>
                </w:p>
              </w:tc>
              <w:tc>
                <w:tcPr>
                  <w:tcW w:w="1178" w:type="dxa"/>
                  <w:tcBorders>
                    <w:tl2br w:val="nil"/>
                    <w:tr2bl w:val="nil"/>
                  </w:tcBorders>
                  <w:vAlign w:val="center"/>
                </w:tcPr>
                <w:p w14:paraId="40FC4D97">
                  <w:pPr>
                    <w:pStyle w:val="33"/>
                    <w:rPr>
                      <w:color w:val="auto"/>
                    </w:rPr>
                  </w:pPr>
                  <w:r>
                    <w:rPr>
                      <w:color w:val="auto"/>
                    </w:rPr>
                    <w:t>TSP</w:t>
                  </w:r>
                </w:p>
              </w:tc>
              <w:tc>
                <w:tcPr>
                  <w:tcW w:w="1419" w:type="dxa"/>
                  <w:tcBorders>
                    <w:tl2br w:val="nil"/>
                    <w:tr2bl w:val="nil"/>
                  </w:tcBorders>
                  <w:vAlign w:val="center"/>
                </w:tcPr>
                <w:p w14:paraId="2A397575">
                  <w:pPr>
                    <w:pStyle w:val="33"/>
                    <w:rPr>
                      <w:color w:val="auto"/>
                    </w:rPr>
                  </w:pPr>
                  <w:r>
                    <w:rPr>
                      <w:color w:val="auto"/>
                    </w:rPr>
                    <w:t>连续监测3天，TSP每天监测1 次日均值</w:t>
                  </w:r>
                </w:p>
              </w:tc>
              <w:tc>
                <w:tcPr>
                  <w:tcW w:w="1419" w:type="dxa"/>
                  <w:tcBorders>
                    <w:tl2br w:val="nil"/>
                    <w:tr2bl w:val="nil"/>
                  </w:tcBorders>
                  <w:vAlign w:val="center"/>
                </w:tcPr>
                <w:p w14:paraId="795BD255">
                  <w:pPr>
                    <w:pStyle w:val="33"/>
                    <w:rPr>
                      <w:color w:val="auto"/>
                    </w:rPr>
                  </w:pPr>
                  <w:r>
                    <w:rPr>
                      <w:color w:val="auto"/>
                    </w:rPr>
                    <w:t>2024年2月29日～3月2日</w:t>
                  </w:r>
                </w:p>
              </w:tc>
            </w:tr>
          </w:tbl>
          <w:p w14:paraId="1178C2AC">
            <w:pPr>
              <w:pStyle w:val="35"/>
              <w:rPr>
                <w:rFonts w:hint="default"/>
                <w:color w:val="auto"/>
                <w:szCs w:val="20"/>
              </w:rPr>
            </w:pPr>
            <w:r>
              <w:rPr>
                <w:color w:val="auto"/>
              </w:rPr>
              <w:t>表3-3 项目所在区域环境空气监测结果</w:t>
            </w:r>
          </w:p>
          <w:tbl>
            <w:tblPr>
              <w:tblStyle w:val="43"/>
              <w:tblW w:w="7996"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220"/>
              <w:gridCol w:w="1120"/>
              <w:gridCol w:w="728"/>
              <w:gridCol w:w="993"/>
              <w:gridCol w:w="1011"/>
              <w:gridCol w:w="1011"/>
              <w:gridCol w:w="661"/>
              <w:gridCol w:w="629"/>
              <w:gridCol w:w="623"/>
            </w:tblGrid>
            <w:tr w14:paraId="1C24C4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1562" w:type="dxa"/>
                  <w:gridSpan w:val="2"/>
                  <w:tcBorders>
                    <w:tl2br w:val="nil"/>
                    <w:tr2bl w:val="nil"/>
                  </w:tcBorders>
                  <w:vAlign w:val="center"/>
                </w:tcPr>
                <w:p w14:paraId="60D109EA">
                  <w:pPr>
                    <w:pStyle w:val="33"/>
                    <w:rPr>
                      <w:color w:val="auto"/>
                    </w:rPr>
                  </w:pPr>
                  <w:r>
                    <w:rPr>
                      <w:color w:val="auto"/>
                    </w:rPr>
                    <w:t>监测点位</w:t>
                  </w:r>
                </w:p>
              </w:tc>
              <w:tc>
                <w:tcPr>
                  <w:tcW w:w="848" w:type="dxa"/>
                  <w:vMerge w:val="restart"/>
                  <w:tcBorders>
                    <w:tl2br w:val="nil"/>
                    <w:tr2bl w:val="nil"/>
                  </w:tcBorders>
                  <w:vAlign w:val="center"/>
                </w:tcPr>
                <w:p w14:paraId="4E763025">
                  <w:pPr>
                    <w:pStyle w:val="33"/>
                    <w:rPr>
                      <w:color w:val="auto"/>
                    </w:rPr>
                  </w:pPr>
                  <w:r>
                    <w:rPr>
                      <w:color w:val="auto"/>
                    </w:rPr>
                    <w:t>监测项目</w:t>
                  </w:r>
                </w:p>
              </w:tc>
              <w:tc>
                <w:tcPr>
                  <w:tcW w:w="1251" w:type="dxa"/>
                  <w:vMerge w:val="restart"/>
                  <w:tcBorders>
                    <w:tl2br w:val="nil"/>
                    <w:tr2bl w:val="nil"/>
                  </w:tcBorders>
                  <w:vAlign w:val="center"/>
                </w:tcPr>
                <w:p w14:paraId="2721E8FD">
                  <w:pPr>
                    <w:pStyle w:val="33"/>
                    <w:rPr>
                      <w:color w:val="auto"/>
                    </w:rPr>
                  </w:pPr>
                  <w:r>
                    <w:rPr>
                      <w:rFonts w:hint="eastAsia"/>
                      <w:color w:val="auto"/>
                    </w:rPr>
                    <w:t>平均时间</w:t>
                  </w:r>
                </w:p>
              </w:tc>
              <w:tc>
                <w:tcPr>
                  <w:tcW w:w="1032" w:type="dxa"/>
                  <w:vMerge w:val="restart"/>
                  <w:tcBorders>
                    <w:tl2br w:val="nil"/>
                    <w:tr2bl w:val="nil"/>
                  </w:tcBorders>
                  <w:vAlign w:val="center"/>
                </w:tcPr>
                <w:p w14:paraId="5AF3FAD0">
                  <w:pPr>
                    <w:pStyle w:val="33"/>
                    <w:rPr>
                      <w:color w:val="auto"/>
                    </w:rPr>
                  </w:pPr>
                  <w:r>
                    <w:rPr>
                      <w:rFonts w:hint="eastAsia"/>
                      <w:color w:val="auto"/>
                    </w:rPr>
                    <w:t>评价标准（</w:t>
                  </w:r>
                  <w:r>
                    <w:rPr>
                      <w:color w:val="auto"/>
                    </w:rPr>
                    <w:t>µ</w:t>
                  </w:r>
                  <w:r>
                    <w:rPr>
                      <w:rFonts w:hint="eastAsia"/>
                      <w:color w:val="auto"/>
                    </w:rPr>
                    <w:t>g/m</w:t>
                  </w:r>
                  <w:r>
                    <w:rPr>
                      <w:rFonts w:hint="eastAsia"/>
                      <w:color w:val="auto"/>
                      <w:vertAlign w:val="superscript"/>
                    </w:rPr>
                    <w:t>3</w:t>
                  </w:r>
                  <w:r>
                    <w:rPr>
                      <w:rFonts w:hint="eastAsia"/>
                      <w:color w:val="auto"/>
                    </w:rPr>
                    <w:t>）</w:t>
                  </w:r>
                </w:p>
              </w:tc>
              <w:tc>
                <w:tcPr>
                  <w:tcW w:w="1032" w:type="dxa"/>
                  <w:vMerge w:val="restart"/>
                  <w:tcBorders>
                    <w:tl2br w:val="nil"/>
                    <w:tr2bl w:val="nil"/>
                  </w:tcBorders>
                  <w:vAlign w:val="center"/>
                </w:tcPr>
                <w:p w14:paraId="5CE9F3A6">
                  <w:pPr>
                    <w:pStyle w:val="33"/>
                    <w:rPr>
                      <w:color w:val="auto"/>
                    </w:rPr>
                  </w:pPr>
                  <w:r>
                    <w:rPr>
                      <w:rFonts w:hint="eastAsia"/>
                      <w:color w:val="auto"/>
                    </w:rPr>
                    <w:t>监测浓度范围（</w:t>
                  </w:r>
                  <w:r>
                    <w:rPr>
                      <w:color w:val="auto"/>
                    </w:rPr>
                    <w:t>µ</w:t>
                  </w:r>
                  <w:r>
                    <w:rPr>
                      <w:rFonts w:hint="eastAsia"/>
                      <w:color w:val="auto"/>
                    </w:rPr>
                    <w:t>g/m</w:t>
                  </w:r>
                  <w:r>
                    <w:rPr>
                      <w:rFonts w:hint="eastAsia"/>
                      <w:color w:val="auto"/>
                      <w:vertAlign w:val="superscript"/>
                    </w:rPr>
                    <w:t>3</w:t>
                  </w:r>
                  <w:r>
                    <w:rPr>
                      <w:rFonts w:hint="eastAsia"/>
                      <w:color w:val="auto"/>
                    </w:rPr>
                    <w:t>）</w:t>
                  </w:r>
                </w:p>
              </w:tc>
              <w:tc>
                <w:tcPr>
                  <w:tcW w:w="755" w:type="dxa"/>
                  <w:vMerge w:val="restart"/>
                  <w:tcBorders>
                    <w:tl2br w:val="nil"/>
                    <w:tr2bl w:val="nil"/>
                  </w:tcBorders>
                  <w:vAlign w:val="center"/>
                </w:tcPr>
                <w:p w14:paraId="16350B56">
                  <w:pPr>
                    <w:pStyle w:val="33"/>
                    <w:rPr>
                      <w:color w:val="auto"/>
                    </w:rPr>
                  </w:pPr>
                  <w:r>
                    <w:rPr>
                      <w:rFonts w:hint="eastAsia"/>
                      <w:color w:val="auto"/>
                    </w:rPr>
                    <w:t>最大浓度占标率/%</w:t>
                  </w:r>
                </w:p>
              </w:tc>
              <w:tc>
                <w:tcPr>
                  <w:tcW w:w="757" w:type="dxa"/>
                  <w:vMerge w:val="restart"/>
                  <w:tcBorders>
                    <w:tl2br w:val="nil"/>
                    <w:tr2bl w:val="nil"/>
                  </w:tcBorders>
                  <w:vAlign w:val="center"/>
                </w:tcPr>
                <w:p w14:paraId="0C00A887">
                  <w:pPr>
                    <w:pStyle w:val="33"/>
                    <w:rPr>
                      <w:color w:val="auto"/>
                    </w:rPr>
                  </w:pPr>
                  <w:r>
                    <w:rPr>
                      <w:rFonts w:hint="eastAsia"/>
                      <w:color w:val="auto"/>
                    </w:rPr>
                    <w:t>超标率/%</w:t>
                  </w:r>
                </w:p>
              </w:tc>
              <w:tc>
                <w:tcPr>
                  <w:tcW w:w="759" w:type="dxa"/>
                  <w:vMerge w:val="restart"/>
                  <w:tcBorders>
                    <w:tl2br w:val="nil"/>
                    <w:tr2bl w:val="nil"/>
                  </w:tcBorders>
                  <w:vAlign w:val="center"/>
                </w:tcPr>
                <w:p w14:paraId="104E050F">
                  <w:pPr>
                    <w:pStyle w:val="33"/>
                    <w:rPr>
                      <w:color w:val="auto"/>
                    </w:rPr>
                  </w:pPr>
                  <w:r>
                    <w:rPr>
                      <w:rFonts w:hint="eastAsia"/>
                      <w:color w:val="auto"/>
                    </w:rPr>
                    <w:t>达标情况</w:t>
                  </w:r>
                </w:p>
              </w:tc>
            </w:tr>
            <w:tr w14:paraId="096633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81" w:type="dxa"/>
                  <w:tcBorders>
                    <w:tl2br w:val="nil"/>
                    <w:tr2bl w:val="nil"/>
                  </w:tcBorders>
                  <w:vAlign w:val="center"/>
                </w:tcPr>
                <w:p w14:paraId="49A28B17">
                  <w:pPr>
                    <w:pStyle w:val="33"/>
                    <w:rPr>
                      <w:color w:val="auto"/>
                    </w:rPr>
                  </w:pPr>
                  <w:r>
                    <w:rPr>
                      <w:rFonts w:hint="eastAsia"/>
                      <w:color w:val="auto"/>
                    </w:rPr>
                    <w:t>经度</w:t>
                  </w:r>
                </w:p>
              </w:tc>
              <w:tc>
                <w:tcPr>
                  <w:tcW w:w="781" w:type="dxa"/>
                  <w:tcBorders>
                    <w:tl2br w:val="nil"/>
                    <w:tr2bl w:val="nil"/>
                  </w:tcBorders>
                  <w:vAlign w:val="center"/>
                </w:tcPr>
                <w:p w14:paraId="7BBEBB88">
                  <w:pPr>
                    <w:pStyle w:val="33"/>
                    <w:rPr>
                      <w:color w:val="auto"/>
                    </w:rPr>
                  </w:pPr>
                  <w:r>
                    <w:rPr>
                      <w:rFonts w:hint="eastAsia"/>
                      <w:color w:val="auto"/>
                    </w:rPr>
                    <w:t>纬度</w:t>
                  </w:r>
                </w:p>
              </w:tc>
              <w:tc>
                <w:tcPr>
                  <w:tcW w:w="848" w:type="dxa"/>
                  <w:vMerge w:val="continue"/>
                  <w:tcBorders>
                    <w:tl2br w:val="nil"/>
                    <w:tr2bl w:val="nil"/>
                  </w:tcBorders>
                  <w:vAlign w:val="center"/>
                </w:tcPr>
                <w:p w14:paraId="5F2D49DD">
                  <w:pPr>
                    <w:pStyle w:val="33"/>
                    <w:rPr>
                      <w:color w:val="auto"/>
                    </w:rPr>
                  </w:pPr>
                </w:p>
              </w:tc>
              <w:tc>
                <w:tcPr>
                  <w:tcW w:w="1251" w:type="dxa"/>
                  <w:vMerge w:val="continue"/>
                  <w:tcBorders>
                    <w:tl2br w:val="nil"/>
                    <w:tr2bl w:val="nil"/>
                  </w:tcBorders>
                  <w:vAlign w:val="center"/>
                </w:tcPr>
                <w:p w14:paraId="67778E0E">
                  <w:pPr>
                    <w:pStyle w:val="33"/>
                    <w:rPr>
                      <w:color w:val="auto"/>
                    </w:rPr>
                  </w:pPr>
                </w:p>
              </w:tc>
              <w:tc>
                <w:tcPr>
                  <w:tcW w:w="1032" w:type="dxa"/>
                  <w:vMerge w:val="continue"/>
                  <w:tcBorders>
                    <w:tl2br w:val="nil"/>
                    <w:tr2bl w:val="nil"/>
                  </w:tcBorders>
                  <w:vAlign w:val="center"/>
                </w:tcPr>
                <w:p w14:paraId="7091A911">
                  <w:pPr>
                    <w:pStyle w:val="33"/>
                    <w:rPr>
                      <w:color w:val="auto"/>
                    </w:rPr>
                  </w:pPr>
                </w:p>
              </w:tc>
              <w:tc>
                <w:tcPr>
                  <w:tcW w:w="1032" w:type="dxa"/>
                  <w:vMerge w:val="continue"/>
                  <w:tcBorders>
                    <w:tl2br w:val="nil"/>
                    <w:tr2bl w:val="nil"/>
                  </w:tcBorders>
                  <w:vAlign w:val="center"/>
                </w:tcPr>
                <w:p w14:paraId="1F0FE64B">
                  <w:pPr>
                    <w:pStyle w:val="33"/>
                    <w:rPr>
                      <w:color w:val="auto"/>
                    </w:rPr>
                  </w:pPr>
                </w:p>
              </w:tc>
              <w:tc>
                <w:tcPr>
                  <w:tcW w:w="755" w:type="dxa"/>
                  <w:vMerge w:val="continue"/>
                  <w:tcBorders>
                    <w:tl2br w:val="nil"/>
                    <w:tr2bl w:val="nil"/>
                  </w:tcBorders>
                  <w:vAlign w:val="center"/>
                </w:tcPr>
                <w:p w14:paraId="40027B20">
                  <w:pPr>
                    <w:pStyle w:val="33"/>
                    <w:rPr>
                      <w:color w:val="auto"/>
                    </w:rPr>
                  </w:pPr>
                </w:p>
              </w:tc>
              <w:tc>
                <w:tcPr>
                  <w:tcW w:w="757" w:type="dxa"/>
                  <w:vMerge w:val="continue"/>
                  <w:tcBorders>
                    <w:tl2br w:val="nil"/>
                    <w:tr2bl w:val="nil"/>
                  </w:tcBorders>
                  <w:vAlign w:val="center"/>
                </w:tcPr>
                <w:p w14:paraId="3A3A5716">
                  <w:pPr>
                    <w:pStyle w:val="33"/>
                    <w:rPr>
                      <w:color w:val="auto"/>
                    </w:rPr>
                  </w:pPr>
                </w:p>
              </w:tc>
              <w:tc>
                <w:tcPr>
                  <w:tcW w:w="759" w:type="dxa"/>
                  <w:vMerge w:val="continue"/>
                  <w:tcBorders>
                    <w:tl2br w:val="nil"/>
                    <w:tr2bl w:val="nil"/>
                  </w:tcBorders>
                  <w:vAlign w:val="center"/>
                </w:tcPr>
                <w:p w14:paraId="6B2BC660">
                  <w:pPr>
                    <w:pStyle w:val="33"/>
                    <w:rPr>
                      <w:color w:val="auto"/>
                    </w:rPr>
                  </w:pPr>
                </w:p>
              </w:tc>
            </w:tr>
            <w:tr w14:paraId="454AF2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24" w:hRule="atLeast"/>
                <w:jc w:val="center"/>
              </w:trPr>
              <w:tc>
                <w:tcPr>
                  <w:tcW w:w="781" w:type="dxa"/>
                  <w:tcBorders>
                    <w:tl2br w:val="nil"/>
                    <w:tr2bl w:val="nil"/>
                  </w:tcBorders>
                  <w:vAlign w:val="center"/>
                </w:tcPr>
                <w:p w14:paraId="30D1D106">
                  <w:pPr>
                    <w:pStyle w:val="33"/>
                    <w:rPr>
                      <w:color w:val="auto"/>
                    </w:rPr>
                  </w:pPr>
                  <w:r>
                    <w:rPr>
                      <w:color w:val="auto"/>
                    </w:rPr>
                    <w:t>109°25′4.058″</w:t>
                  </w:r>
                </w:p>
              </w:tc>
              <w:tc>
                <w:tcPr>
                  <w:tcW w:w="781" w:type="dxa"/>
                  <w:tcBorders>
                    <w:tl2br w:val="nil"/>
                    <w:tr2bl w:val="nil"/>
                  </w:tcBorders>
                  <w:vAlign w:val="center"/>
                </w:tcPr>
                <w:p w14:paraId="7C4C96C3">
                  <w:pPr>
                    <w:pStyle w:val="33"/>
                    <w:rPr>
                      <w:color w:val="auto"/>
                    </w:rPr>
                  </w:pPr>
                  <w:r>
                    <w:rPr>
                      <w:color w:val="auto"/>
                    </w:rPr>
                    <w:t>24°10′8.080″</w:t>
                  </w:r>
                </w:p>
              </w:tc>
              <w:tc>
                <w:tcPr>
                  <w:tcW w:w="848" w:type="dxa"/>
                  <w:tcBorders>
                    <w:tl2br w:val="nil"/>
                    <w:tr2bl w:val="nil"/>
                  </w:tcBorders>
                  <w:vAlign w:val="center"/>
                </w:tcPr>
                <w:p w14:paraId="2140B0E6">
                  <w:pPr>
                    <w:pStyle w:val="33"/>
                    <w:rPr>
                      <w:color w:val="auto"/>
                    </w:rPr>
                  </w:pPr>
                  <w:r>
                    <w:rPr>
                      <w:rFonts w:hint="eastAsia"/>
                      <w:color w:val="auto"/>
                    </w:rPr>
                    <w:t>TSP</w:t>
                  </w:r>
                </w:p>
              </w:tc>
              <w:tc>
                <w:tcPr>
                  <w:tcW w:w="1251" w:type="dxa"/>
                  <w:tcBorders>
                    <w:tl2br w:val="nil"/>
                    <w:tr2bl w:val="nil"/>
                  </w:tcBorders>
                  <w:vAlign w:val="center"/>
                </w:tcPr>
                <w:p w14:paraId="49CF3D59">
                  <w:pPr>
                    <w:pStyle w:val="33"/>
                    <w:rPr>
                      <w:color w:val="auto"/>
                    </w:rPr>
                  </w:pPr>
                  <w:r>
                    <w:rPr>
                      <w:rFonts w:hint="eastAsia"/>
                      <w:color w:val="auto"/>
                    </w:rPr>
                    <w:t>24小时平均</w:t>
                  </w:r>
                </w:p>
              </w:tc>
              <w:tc>
                <w:tcPr>
                  <w:tcW w:w="1032" w:type="dxa"/>
                  <w:tcBorders>
                    <w:tl2br w:val="nil"/>
                    <w:tr2bl w:val="nil"/>
                  </w:tcBorders>
                  <w:vAlign w:val="center"/>
                </w:tcPr>
                <w:p w14:paraId="2E715859">
                  <w:pPr>
                    <w:pStyle w:val="33"/>
                    <w:rPr>
                      <w:color w:val="auto"/>
                    </w:rPr>
                  </w:pPr>
                  <w:r>
                    <w:rPr>
                      <w:rFonts w:hint="eastAsia"/>
                      <w:color w:val="auto"/>
                    </w:rPr>
                    <w:t>300</w:t>
                  </w:r>
                </w:p>
              </w:tc>
              <w:tc>
                <w:tcPr>
                  <w:tcW w:w="1032" w:type="dxa"/>
                  <w:tcBorders>
                    <w:tl2br w:val="nil"/>
                    <w:tr2bl w:val="nil"/>
                  </w:tcBorders>
                  <w:vAlign w:val="center"/>
                </w:tcPr>
                <w:p w14:paraId="4D572014">
                  <w:pPr>
                    <w:pStyle w:val="33"/>
                    <w:rPr>
                      <w:color w:val="auto"/>
                    </w:rPr>
                  </w:pPr>
                  <w:r>
                    <w:rPr>
                      <w:rFonts w:hint="eastAsia"/>
                      <w:color w:val="auto"/>
                    </w:rPr>
                    <w:t>158-162</w:t>
                  </w:r>
                </w:p>
              </w:tc>
              <w:tc>
                <w:tcPr>
                  <w:tcW w:w="755" w:type="dxa"/>
                  <w:tcBorders>
                    <w:tl2br w:val="nil"/>
                    <w:tr2bl w:val="nil"/>
                  </w:tcBorders>
                  <w:vAlign w:val="center"/>
                </w:tcPr>
                <w:p w14:paraId="22767FA0">
                  <w:pPr>
                    <w:pStyle w:val="33"/>
                    <w:rPr>
                      <w:color w:val="auto"/>
                    </w:rPr>
                  </w:pPr>
                  <w:r>
                    <w:rPr>
                      <w:rFonts w:hint="eastAsia"/>
                      <w:color w:val="auto"/>
                    </w:rPr>
                    <w:t>54.0</w:t>
                  </w:r>
                </w:p>
              </w:tc>
              <w:tc>
                <w:tcPr>
                  <w:tcW w:w="757" w:type="dxa"/>
                  <w:tcBorders>
                    <w:tl2br w:val="nil"/>
                    <w:tr2bl w:val="nil"/>
                  </w:tcBorders>
                  <w:vAlign w:val="center"/>
                </w:tcPr>
                <w:p w14:paraId="370AE73B">
                  <w:pPr>
                    <w:pStyle w:val="33"/>
                    <w:rPr>
                      <w:color w:val="auto"/>
                    </w:rPr>
                  </w:pPr>
                  <w:r>
                    <w:rPr>
                      <w:rFonts w:hint="eastAsia"/>
                      <w:color w:val="auto"/>
                    </w:rPr>
                    <w:t>0</w:t>
                  </w:r>
                </w:p>
              </w:tc>
              <w:tc>
                <w:tcPr>
                  <w:tcW w:w="759" w:type="dxa"/>
                  <w:tcBorders>
                    <w:tl2br w:val="nil"/>
                    <w:tr2bl w:val="nil"/>
                  </w:tcBorders>
                  <w:vAlign w:val="center"/>
                </w:tcPr>
                <w:p w14:paraId="38558E90">
                  <w:pPr>
                    <w:pStyle w:val="33"/>
                    <w:rPr>
                      <w:color w:val="auto"/>
                    </w:rPr>
                  </w:pPr>
                  <w:r>
                    <w:rPr>
                      <w:rFonts w:hint="eastAsia"/>
                      <w:color w:val="auto"/>
                    </w:rPr>
                    <w:t>达标</w:t>
                  </w:r>
                </w:p>
              </w:tc>
            </w:tr>
          </w:tbl>
          <w:p w14:paraId="67503BD7">
            <w:pPr>
              <w:ind w:firstLine="480"/>
              <w:rPr>
                <w:color w:val="auto"/>
              </w:rPr>
            </w:pPr>
            <w:r>
              <w:rPr>
                <w:color w:val="auto"/>
              </w:rPr>
              <w:t>由监测结果可知，项目区域TSP监测浓度满足《环境空气质量标准》（GB3095-2026）二级标准要求。</w:t>
            </w:r>
          </w:p>
          <w:p w14:paraId="0C14A3DD">
            <w:pPr>
              <w:ind w:firstLine="482"/>
              <w:rPr>
                <w:color w:val="auto"/>
              </w:rPr>
            </w:pPr>
            <w:r>
              <w:rPr>
                <w:b/>
                <w:bCs/>
                <w:color w:val="auto"/>
              </w:rPr>
              <w:t>2、地表水质量现状</w:t>
            </w:r>
          </w:p>
          <w:p w14:paraId="78187CAB">
            <w:pPr>
              <w:ind w:firstLine="480"/>
              <w:rPr>
                <w:color w:val="auto"/>
              </w:rPr>
            </w:pPr>
            <w:r>
              <w:rPr>
                <w:color w:val="auto"/>
              </w:rPr>
              <w:t>本项目废水不直接排入地表水体，其依托的新兴污水处理厂尾水受纳水体为响水河，响水河下游汇入柳江。根据柳州市生态环境局发布的《2025年柳州市生态环境状况公报》，2025年柳州市18个地表水监测断面水质均达到或优于《地表水环境质量标准》（GB 3838—2002）Ⅲ类标准；其中10个国控断面年均水质均达到或优于Ⅱ类标准，区域地表水环境质量总体良好。</w:t>
            </w:r>
          </w:p>
          <w:p w14:paraId="1FDB35EF">
            <w:pPr>
              <w:ind w:firstLine="480"/>
              <w:rPr>
                <w:rFonts w:hint="eastAsia" w:eastAsia="宋体"/>
                <w:color w:val="auto"/>
                <w:lang w:eastAsia="zh-CN"/>
              </w:rPr>
            </w:pPr>
            <w:r>
              <w:rPr>
                <w:color w:val="auto"/>
              </w:rPr>
              <w:t>本项目生产废水经</w:t>
            </w:r>
            <w:r>
              <w:rPr>
                <w:rFonts w:hint="eastAsia"/>
                <w:color w:val="auto"/>
                <w:lang w:eastAsia="zh-CN"/>
              </w:rPr>
              <w:t>厂区自建污水处理设施“隔油沉淀+一体化A/O工艺”</w:t>
            </w:r>
            <w:r>
              <w:rPr>
                <w:color w:val="auto"/>
              </w:rPr>
              <w:t>处理，生活污水经化粪池预处理，各类废水分别达到《污水综合排放标准》（GB 8978—1996）三级标准及新兴污水处理厂进水水质要求后，经园区污水管网排入新兴污水处理厂进一步处理。新兴污水处理厂尾水达到《城镇污水处理厂污染物排放标准》（GB 18918—2002）一级B标准后排入响水河。本项目废水排放方式属于间接排放，根据《环境影响评价技术导则 地表水环境》（HJ 2.3—2018），地表水环境影响评价等级为三级B</w:t>
            </w:r>
            <w:r>
              <w:rPr>
                <w:rFonts w:hint="eastAsia"/>
                <w:color w:val="auto"/>
                <w:lang w:eastAsia="zh-CN"/>
              </w:rPr>
              <w:t>。</w:t>
            </w:r>
          </w:p>
          <w:p w14:paraId="37B0CED1">
            <w:pPr>
              <w:ind w:firstLine="482"/>
              <w:rPr>
                <w:b/>
                <w:bCs/>
                <w:color w:val="auto"/>
              </w:rPr>
            </w:pPr>
            <w:r>
              <w:rPr>
                <w:b/>
                <w:bCs/>
                <w:color w:val="auto"/>
              </w:rPr>
              <w:t>3、声环境质量现状</w:t>
            </w:r>
          </w:p>
          <w:p w14:paraId="14FAFC39">
            <w:pPr>
              <w:ind w:firstLine="480"/>
              <w:rPr>
                <w:color w:val="auto"/>
              </w:rPr>
            </w:pPr>
            <w:r>
              <w:rPr>
                <w:color w:val="auto"/>
              </w:rPr>
              <w:t>根据柳州市城市区域声环境功能区划分示意图（详见附图</w:t>
            </w:r>
            <w:r>
              <w:rPr>
                <w:rFonts w:hint="eastAsia"/>
                <w:color w:val="auto"/>
                <w:lang w:val="en-US" w:eastAsia="zh-CN"/>
              </w:rPr>
              <w:t>6</w:t>
            </w:r>
            <w:r>
              <w:rPr>
                <w:color w:val="auto"/>
              </w:rPr>
              <w:t>），项目所在区域为3类声环境功能区，执行《声环境质量标准》（GB3096-2008）3类标准。项目厂界外周边50米范围内不存在声环境保护目标，根据《建设项目环境影响报告表编制技术指南（污染影响类）》（试行），本次评价不开展声环境敏感目标声环境质量现状监测。</w:t>
            </w:r>
          </w:p>
          <w:p w14:paraId="7BAAD771">
            <w:pPr>
              <w:ind w:firstLine="482"/>
              <w:rPr>
                <w:color w:val="auto"/>
              </w:rPr>
            </w:pPr>
            <w:r>
              <w:rPr>
                <w:b/>
                <w:bCs/>
                <w:color w:val="auto"/>
              </w:rPr>
              <w:t>4、地下水、土壤环境质量现状</w:t>
            </w:r>
          </w:p>
          <w:p w14:paraId="641807DA">
            <w:pPr>
              <w:ind w:firstLine="480"/>
              <w:rPr>
                <w:color w:val="auto"/>
              </w:rPr>
            </w:pPr>
            <w:r>
              <w:rPr>
                <w:color w:val="auto"/>
              </w:rPr>
              <w:t>根据《建设项目环境影响报告表编制技术指南（污染影响类）（试行）》（环办环评〔2020〕33号）要求，“原则上不开展环境质量现状调查。建设项目存在土壤、地下水环境污染途径的，应结合污染源、保护目标分布情况开展现状调查以留作背景值”。</w:t>
            </w:r>
          </w:p>
          <w:p w14:paraId="08F23581">
            <w:pPr>
              <w:ind w:firstLine="480"/>
              <w:rPr>
                <w:color w:val="auto"/>
              </w:rPr>
            </w:pPr>
            <w:r>
              <w:rPr>
                <w:color w:val="auto"/>
              </w:rPr>
              <w:t>本项目为新建项目，利用企业自有工业厂房进行调味品生产，厂房地面已采取硬化措施。项目生产过程中主要涉及原辅材料储存、食品加工及包装等工序，不涉及有毒有害污染物及重金属等污染因子的使用，不存在土壤、地下水环境污染的明显途径。因此，本项目不开展地下水、土壤环境质量现状调查。</w:t>
            </w:r>
          </w:p>
          <w:p w14:paraId="4EFB3A47">
            <w:pPr>
              <w:ind w:firstLine="482"/>
              <w:rPr>
                <w:color w:val="auto"/>
              </w:rPr>
            </w:pPr>
            <w:r>
              <w:rPr>
                <w:rFonts w:hint="eastAsia"/>
                <w:b/>
                <w:bCs/>
                <w:color w:val="auto"/>
              </w:rPr>
              <w:t>5、生态环境现状</w:t>
            </w:r>
          </w:p>
          <w:p w14:paraId="16F79A46">
            <w:pPr>
              <w:ind w:firstLine="480"/>
              <w:rPr>
                <w:b/>
                <w:bCs/>
                <w:color w:val="auto"/>
              </w:rPr>
            </w:pPr>
            <w:r>
              <w:rPr>
                <w:color w:val="auto"/>
              </w:rPr>
              <w:t>项目位于柳州市柳江区新兴工业园区内，属于工业集中区。根据现场调查，项目周边主要为工业企业、园区道路及绿化带，建设区域内植被主要为人工绿化植物，未发现国家和地方重点保护植物及珍稀濒危植物；项目所在区域未发现国家和地方重点保护的野生动物及珍稀濒危野生动物。项目所在区域不涉及自然保护区、风景名胜区、森林公园等生态敏感区域，区域生态环境主要为典型的城市人工生态系统。</w:t>
            </w:r>
          </w:p>
        </w:tc>
      </w:tr>
      <w:tr w14:paraId="6E0064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842" w:type="dxa"/>
            <w:vAlign w:val="center"/>
          </w:tcPr>
          <w:p w14:paraId="222BA98C">
            <w:pPr>
              <w:adjustRightInd w:val="0"/>
              <w:snapToGrid w:val="0"/>
              <w:ind w:firstLine="0" w:firstLineChars="0"/>
              <w:jc w:val="center"/>
              <w:rPr>
                <w:rFonts w:hint="eastAsia" w:ascii="宋体" w:hAnsi="宋体" w:cs="宋体"/>
                <w:color w:val="auto"/>
                <w:kern w:val="0"/>
                <w:szCs w:val="21"/>
              </w:rPr>
            </w:pPr>
            <w:r>
              <w:rPr>
                <w:rFonts w:hint="eastAsia" w:ascii="宋体" w:hAnsi="宋体" w:cs="宋体"/>
                <w:color w:val="auto"/>
                <w:kern w:val="0"/>
                <w:szCs w:val="21"/>
              </w:rPr>
              <w:t>环境保护目标</w:t>
            </w:r>
          </w:p>
        </w:tc>
        <w:tc>
          <w:tcPr>
            <w:tcW w:w="8215" w:type="dxa"/>
            <w:vAlign w:val="center"/>
          </w:tcPr>
          <w:p w14:paraId="00141690">
            <w:pPr>
              <w:ind w:firstLine="482"/>
              <w:rPr>
                <w:color w:val="auto"/>
              </w:rPr>
            </w:pPr>
            <w:r>
              <w:rPr>
                <w:b/>
                <w:bCs/>
                <w:color w:val="auto"/>
              </w:rPr>
              <w:t>1.大气环境</w:t>
            </w:r>
          </w:p>
          <w:p w14:paraId="1DB2365B">
            <w:pPr>
              <w:ind w:firstLine="480"/>
              <w:rPr>
                <w:color w:val="auto"/>
              </w:rPr>
            </w:pPr>
            <w:r>
              <w:rPr>
                <w:color w:val="auto"/>
              </w:rPr>
              <w:t>项目厂界外500米范围内大气环境保护目标为</w:t>
            </w:r>
            <w:r>
              <w:rPr>
                <w:rFonts w:hint="eastAsia"/>
                <w:color w:val="auto"/>
              </w:rPr>
              <w:t>东侧</w:t>
            </w:r>
            <w:r>
              <w:rPr>
                <w:color w:val="auto"/>
              </w:rPr>
              <w:t>距离</w:t>
            </w:r>
            <w:r>
              <w:rPr>
                <w:rFonts w:hint="eastAsia"/>
                <w:color w:val="auto"/>
              </w:rPr>
              <w:t>35</w:t>
            </w:r>
            <w:r>
              <w:rPr>
                <w:color w:val="auto"/>
              </w:rPr>
              <w:t>0m处的</w:t>
            </w:r>
            <w:r>
              <w:rPr>
                <w:rFonts w:hint="eastAsia"/>
                <w:color w:val="auto"/>
              </w:rPr>
              <w:t>紫域·白莲国际城</w:t>
            </w:r>
            <w:r>
              <w:rPr>
                <w:color w:val="auto"/>
              </w:rPr>
              <w:t>。</w:t>
            </w:r>
          </w:p>
          <w:p w14:paraId="58DC02B2">
            <w:pPr>
              <w:ind w:firstLine="482"/>
              <w:rPr>
                <w:color w:val="auto"/>
              </w:rPr>
            </w:pPr>
            <w:r>
              <w:rPr>
                <w:b/>
                <w:bCs/>
                <w:color w:val="auto"/>
              </w:rPr>
              <w:t>2.声环境质量</w:t>
            </w:r>
          </w:p>
          <w:p w14:paraId="0B6052A4">
            <w:pPr>
              <w:ind w:firstLine="480"/>
              <w:rPr>
                <w:color w:val="auto"/>
              </w:rPr>
            </w:pPr>
            <w:r>
              <w:rPr>
                <w:color w:val="auto"/>
              </w:rPr>
              <w:t>本项目厂界外50米范围内无声环境保护目标。</w:t>
            </w:r>
          </w:p>
          <w:p w14:paraId="094F073E">
            <w:pPr>
              <w:ind w:firstLine="482"/>
              <w:rPr>
                <w:color w:val="auto"/>
              </w:rPr>
            </w:pPr>
            <w:r>
              <w:rPr>
                <w:b/>
                <w:bCs/>
                <w:color w:val="auto"/>
              </w:rPr>
              <w:t>3.地下水环境</w:t>
            </w:r>
          </w:p>
          <w:p w14:paraId="37D588B3">
            <w:pPr>
              <w:ind w:firstLine="480"/>
              <w:rPr>
                <w:color w:val="auto"/>
              </w:rPr>
            </w:pPr>
            <w:r>
              <w:rPr>
                <w:color w:val="auto"/>
              </w:rPr>
              <w:t>本项目厂界外500米范围内无地下水集中式饮用水水源和热水、矿泉水、温泉等特殊地下水源。</w:t>
            </w:r>
          </w:p>
          <w:p w14:paraId="15EA1731">
            <w:pPr>
              <w:ind w:firstLine="482"/>
              <w:rPr>
                <w:color w:val="auto"/>
              </w:rPr>
            </w:pPr>
            <w:r>
              <w:rPr>
                <w:b/>
                <w:bCs/>
                <w:color w:val="auto"/>
              </w:rPr>
              <w:t>4.生态环境</w:t>
            </w:r>
          </w:p>
          <w:p w14:paraId="5088764F">
            <w:pPr>
              <w:ind w:firstLine="480"/>
              <w:rPr>
                <w:color w:val="auto"/>
              </w:rPr>
            </w:pPr>
            <w:r>
              <w:rPr>
                <w:color w:val="auto"/>
              </w:rPr>
              <w:t>项目位于</w:t>
            </w:r>
            <w:r>
              <w:rPr>
                <w:rFonts w:hint="eastAsia"/>
                <w:color w:val="auto"/>
              </w:rPr>
              <w:t>柳州市柳江区新兴工业园利业路30号1-1</w:t>
            </w:r>
            <w:r>
              <w:rPr>
                <w:color w:val="auto"/>
              </w:rPr>
              <w:t>，不涉及生态环境保护目标。</w:t>
            </w:r>
          </w:p>
          <w:p w14:paraId="1E2FA7CB">
            <w:pPr>
              <w:ind w:firstLine="480"/>
              <w:rPr>
                <w:color w:val="auto"/>
              </w:rPr>
            </w:pPr>
            <w:r>
              <w:rPr>
                <w:color w:val="auto"/>
              </w:rPr>
              <w:t>项目环境保护目标情况见表3-4。</w:t>
            </w:r>
          </w:p>
          <w:p w14:paraId="2544CA39">
            <w:pPr>
              <w:pStyle w:val="35"/>
              <w:rPr>
                <w:rFonts w:hint="default"/>
                <w:color w:val="auto"/>
              </w:rPr>
            </w:pPr>
            <w:r>
              <w:rPr>
                <w:color w:val="auto"/>
              </w:rPr>
              <w:t>表3-4 评价区域主要敏感点一览表</w:t>
            </w:r>
          </w:p>
          <w:tbl>
            <w:tblPr>
              <w:tblStyle w:val="17"/>
              <w:tblW w:w="799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706"/>
              <w:gridCol w:w="1536"/>
              <w:gridCol w:w="1431"/>
              <w:gridCol w:w="531"/>
              <w:gridCol w:w="426"/>
              <w:gridCol w:w="426"/>
              <w:gridCol w:w="531"/>
              <w:gridCol w:w="426"/>
              <w:gridCol w:w="1838"/>
            </w:tblGrid>
            <w:tr w14:paraId="4FE805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1050" w:type="dxa"/>
                  <w:vMerge w:val="restart"/>
                  <w:tcBorders>
                    <w:tl2br w:val="nil"/>
                    <w:tr2bl w:val="nil"/>
                  </w:tcBorders>
                  <w:vAlign w:val="center"/>
                </w:tcPr>
                <w:p w14:paraId="5B0EBE61">
                  <w:pPr>
                    <w:pStyle w:val="33"/>
                    <w:rPr>
                      <w:color w:val="auto"/>
                    </w:rPr>
                  </w:pPr>
                  <w:r>
                    <w:rPr>
                      <w:rFonts w:hint="eastAsia"/>
                      <w:color w:val="auto"/>
                    </w:rPr>
                    <w:t>保护类别</w:t>
                  </w:r>
                </w:p>
              </w:tc>
              <w:tc>
                <w:tcPr>
                  <w:tcW w:w="720" w:type="dxa"/>
                  <w:vMerge w:val="restart"/>
                  <w:tcBorders>
                    <w:tl2br w:val="nil"/>
                    <w:tr2bl w:val="nil"/>
                  </w:tcBorders>
                  <w:vAlign w:val="center"/>
                </w:tcPr>
                <w:p w14:paraId="5FAA68A0">
                  <w:pPr>
                    <w:pStyle w:val="33"/>
                    <w:rPr>
                      <w:color w:val="auto"/>
                    </w:rPr>
                  </w:pPr>
                  <w:r>
                    <w:rPr>
                      <w:rFonts w:hint="eastAsia"/>
                      <w:color w:val="auto"/>
                    </w:rPr>
                    <w:t>保护目标</w:t>
                  </w:r>
                </w:p>
              </w:tc>
              <w:tc>
                <w:tcPr>
                  <w:tcW w:w="1484" w:type="dxa"/>
                  <w:gridSpan w:val="2"/>
                  <w:tcBorders>
                    <w:tl2br w:val="nil"/>
                    <w:tr2bl w:val="nil"/>
                  </w:tcBorders>
                  <w:vAlign w:val="center"/>
                </w:tcPr>
                <w:p w14:paraId="277CB6B7">
                  <w:pPr>
                    <w:pStyle w:val="33"/>
                    <w:rPr>
                      <w:color w:val="auto"/>
                    </w:rPr>
                  </w:pPr>
                  <w:r>
                    <w:rPr>
                      <w:rFonts w:hint="eastAsia"/>
                      <w:color w:val="auto"/>
                    </w:rPr>
                    <w:t>坐标</w:t>
                  </w:r>
                </w:p>
              </w:tc>
              <w:tc>
                <w:tcPr>
                  <w:tcW w:w="647" w:type="dxa"/>
                  <w:vMerge w:val="restart"/>
                  <w:tcBorders>
                    <w:tl2br w:val="nil"/>
                    <w:tr2bl w:val="nil"/>
                  </w:tcBorders>
                  <w:vAlign w:val="center"/>
                </w:tcPr>
                <w:p w14:paraId="767A563B">
                  <w:pPr>
                    <w:pStyle w:val="33"/>
                    <w:rPr>
                      <w:color w:val="auto"/>
                    </w:rPr>
                  </w:pPr>
                  <w:r>
                    <w:rPr>
                      <w:rFonts w:hint="eastAsia"/>
                      <w:color w:val="auto"/>
                    </w:rPr>
                    <w:t>最近距离</w:t>
                  </w:r>
                </w:p>
              </w:tc>
              <w:tc>
                <w:tcPr>
                  <w:tcW w:w="682" w:type="dxa"/>
                  <w:vMerge w:val="restart"/>
                  <w:tcBorders>
                    <w:tl2br w:val="nil"/>
                    <w:tr2bl w:val="nil"/>
                  </w:tcBorders>
                  <w:vAlign w:val="center"/>
                </w:tcPr>
                <w:p w14:paraId="4E4B07C6">
                  <w:pPr>
                    <w:pStyle w:val="33"/>
                    <w:rPr>
                      <w:color w:val="auto"/>
                    </w:rPr>
                  </w:pPr>
                  <w:r>
                    <w:rPr>
                      <w:rFonts w:hint="eastAsia"/>
                      <w:color w:val="auto"/>
                    </w:rPr>
                    <w:t>相对方位</w:t>
                  </w:r>
                </w:p>
              </w:tc>
              <w:tc>
                <w:tcPr>
                  <w:tcW w:w="660" w:type="dxa"/>
                  <w:vMerge w:val="restart"/>
                  <w:tcBorders>
                    <w:tl2br w:val="nil"/>
                    <w:tr2bl w:val="nil"/>
                  </w:tcBorders>
                  <w:vAlign w:val="center"/>
                </w:tcPr>
                <w:p w14:paraId="2F7617F7">
                  <w:pPr>
                    <w:pStyle w:val="33"/>
                    <w:rPr>
                      <w:color w:val="auto"/>
                    </w:rPr>
                  </w:pPr>
                  <w:r>
                    <w:rPr>
                      <w:rFonts w:hint="eastAsia"/>
                      <w:color w:val="auto"/>
                    </w:rPr>
                    <w:t>功能</w:t>
                  </w:r>
                </w:p>
              </w:tc>
              <w:tc>
                <w:tcPr>
                  <w:tcW w:w="745" w:type="dxa"/>
                  <w:vMerge w:val="restart"/>
                  <w:tcBorders>
                    <w:tl2br w:val="nil"/>
                    <w:tr2bl w:val="nil"/>
                  </w:tcBorders>
                  <w:vAlign w:val="center"/>
                </w:tcPr>
                <w:p w14:paraId="60821AD2">
                  <w:pPr>
                    <w:pStyle w:val="33"/>
                    <w:rPr>
                      <w:color w:val="auto"/>
                    </w:rPr>
                  </w:pPr>
                  <w:r>
                    <w:rPr>
                      <w:rFonts w:hint="eastAsia"/>
                      <w:color w:val="auto"/>
                    </w:rPr>
                    <w:t>规模</w:t>
                  </w:r>
                </w:p>
              </w:tc>
              <w:tc>
                <w:tcPr>
                  <w:tcW w:w="848" w:type="dxa"/>
                  <w:vMerge w:val="restart"/>
                  <w:tcBorders>
                    <w:tl2br w:val="nil"/>
                    <w:tr2bl w:val="nil"/>
                  </w:tcBorders>
                  <w:vAlign w:val="center"/>
                </w:tcPr>
                <w:p w14:paraId="7A4BDE0D">
                  <w:pPr>
                    <w:pStyle w:val="33"/>
                    <w:rPr>
                      <w:color w:val="auto"/>
                    </w:rPr>
                  </w:pPr>
                  <w:r>
                    <w:rPr>
                      <w:rFonts w:hint="eastAsia"/>
                      <w:color w:val="auto"/>
                    </w:rPr>
                    <w:t>饮用水类型</w:t>
                  </w:r>
                </w:p>
              </w:tc>
              <w:tc>
                <w:tcPr>
                  <w:tcW w:w="1155" w:type="dxa"/>
                  <w:vMerge w:val="restart"/>
                  <w:tcBorders>
                    <w:tl2br w:val="nil"/>
                    <w:tr2bl w:val="nil"/>
                  </w:tcBorders>
                  <w:vAlign w:val="center"/>
                </w:tcPr>
                <w:p w14:paraId="4B928AEA">
                  <w:pPr>
                    <w:pStyle w:val="33"/>
                    <w:rPr>
                      <w:color w:val="auto"/>
                    </w:rPr>
                  </w:pPr>
                  <w:r>
                    <w:rPr>
                      <w:rFonts w:hint="eastAsia"/>
                      <w:color w:val="auto"/>
                    </w:rPr>
                    <w:t>保护级别</w:t>
                  </w:r>
                </w:p>
              </w:tc>
            </w:tr>
            <w:tr w14:paraId="4972C0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1050" w:type="dxa"/>
                  <w:vMerge w:val="continue"/>
                  <w:tcBorders>
                    <w:tl2br w:val="nil"/>
                    <w:tr2bl w:val="nil"/>
                  </w:tcBorders>
                  <w:vAlign w:val="center"/>
                </w:tcPr>
                <w:p w14:paraId="13393E68">
                  <w:pPr>
                    <w:pStyle w:val="33"/>
                    <w:rPr>
                      <w:color w:val="auto"/>
                    </w:rPr>
                  </w:pPr>
                </w:p>
              </w:tc>
              <w:tc>
                <w:tcPr>
                  <w:tcW w:w="720" w:type="dxa"/>
                  <w:vMerge w:val="continue"/>
                  <w:tcBorders>
                    <w:tl2br w:val="nil"/>
                    <w:tr2bl w:val="nil"/>
                  </w:tcBorders>
                  <w:vAlign w:val="center"/>
                </w:tcPr>
                <w:p w14:paraId="161BCA51">
                  <w:pPr>
                    <w:pStyle w:val="33"/>
                    <w:rPr>
                      <w:color w:val="auto"/>
                    </w:rPr>
                  </w:pPr>
                </w:p>
              </w:tc>
              <w:tc>
                <w:tcPr>
                  <w:tcW w:w="702" w:type="dxa"/>
                  <w:tcBorders>
                    <w:tl2br w:val="nil"/>
                    <w:tr2bl w:val="nil"/>
                  </w:tcBorders>
                  <w:vAlign w:val="center"/>
                </w:tcPr>
                <w:p w14:paraId="432D312F">
                  <w:pPr>
                    <w:pStyle w:val="33"/>
                    <w:rPr>
                      <w:color w:val="auto"/>
                    </w:rPr>
                  </w:pPr>
                  <w:r>
                    <w:rPr>
                      <w:rFonts w:hint="eastAsia"/>
                      <w:color w:val="auto"/>
                    </w:rPr>
                    <w:t>经度</w:t>
                  </w:r>
                </w:p>
              </w:tc>
              <w:tc>
                <w:tcPr>
                  <w:tcW w:w="782" w:type="dxa"/>
                  <w:tcBorders>
                    <w:tl2br w:val="nil"/>
                    <w:tr2bl w:val="nil"/>
                  </w:tcBorders>
                  <w:vAlign w:val="center"/>
                </w:tcPr>
                <w:p w14:paraId="37C4B4E9">
                  <w:pPr>
                    <w:pStyle w:val="33"/>
                    <w:rPr>
                      <w:color w:val="auto"/>
                    </w:rPr>
                  </w:pPr>
                  <w:r>
                    <w:rPr>
                      <w:rFonts w:hint="eastAsia"/>
                      <w:color w:val="auto"/>
                    </w:rPr>
                    <w:t>纬度</w:t>
                  </w:r>
                </w:p>
              </w:tc>
              <w:tc>
                <w:tcPr>
                  <w:tcW w:w="647" w:type="dxa"/>
                  <w:vMerge w:val="continue"/>
                  <w:tcBorders>
                    <w:tl2br w:val="nil"/>
                    <w:tr2bl w:val="nil"/>
                  </w:tcBorders>
                  <w:vAlign w:val="center"/>
                </w:tcPr>
                <w:p w14:paraId="105D2A83">
                  <w:pPr>
                    <w:pStyle w:val="33"/>
                    <w:rPr>
                      <w:color w:val="auto"/>
                    </w:rPr>
                  </w:pPr>
                </w:p>
              </w:tc>
              <w:tc>
                <w:tcPr>
                  <w:tcW w:w="682" w:type="dxa"/>
                  <w:vMerge w:val="continue"/>
                  <w:tcBorders>
                    <w:tl2br w:val="nil"/>
                    <w:tr2bl w:val="nil"/>
                  </w:tcBorders>
                  <w:vAlign w:val="center"/>
                </w:tcPr>
                <w:p w14:paraId="61348B3A">
                  <w:pPr>
                    <w:pStyle w:val="33"/>
                    <w:rPr>
                      <w:color w:val="auto"/>
                    </w:rPr>
                  </w:pPr>
                </w:p>
              </w:tc>
              <w:tc>
                <w:tcPr>
                  <w:tcW w:w="660" w:type="dxa"/>
                  <w:vMerge w:val="continue"/>
                  <w:tcBorders>
                    <w:tl2br w:val="nil"/>
                    <w:tr2bl w:val="nil"/>
                  </w:tcBorders>
                  <w:vAlign w:val="center"/>
                </w:tcPr>
                <w:p w14:paraId="37CE0D48">
                  <w:pPr>
                    <w:pStyle w:val="33"/>
                    <w:rPr>
                      <w:color w:val="auto"/>
                    </w:rPr>
                  </w:pPr>
                </w:p>
              </w:tc>
              <w:tc>
                <w:tcPr>
                  <w:tcW w:w="745" w:type="dxa"/>
                  <w:vMerge w:val="continue"/>
                  <w:tcBorders>
                    <w:tl2br w:val="nil"/>
                    <w:tr2bl w:val="nil"/>
                  </w:tcBorders>
                  <w:vAlign w:val="center"/>
                </w:tcPr>
                <w:p w14:paraId="76E05B7E">
                  <w:pPr>
                    <w:pStyle w:val="33"/>
                    <w:rPr>
                      <w:color w:val="auto"/>
                    </w:rPr>
                  </w:pPr>
                </w:p>
              </w:tc>
              <w:tc>
                <w:tcPr>
                  <w:tcW w:w="848" w:type="dxa"/>
                  <w:vMerge w:val="continue"/>
                  <w:tcBorders>
                    <w:tl2br w:val="nil"/>
                    <w:tr2bl w:val="nil"/>
                  </w:tcBorders>
                  <w:vAlign w:val="center"/>
                </w:tcPr>
                <w:p w14:paraId="1822F6E6">
                  <w:pPr>
                    <w:pStyle w:val="33"/>
                    <w:rPr>
                      <w:color w:val="auto"/>
                    </w:rPr>
                  </w:pPr>
                </w:p>
              </w:tc>
              <w:tc>
                <w:tcPr>
                  <w:tcW w:w="1155" w:type="dxa"/>
                  <w:vMerge w:val="continue"/>
                  <w:tcBorders>
                    <w:tl2br w:val="nil"/>
                    <w:tr2bl w:val="nil"/>
                  </w:tcBorders>
                  <w:vAlign w:val="center"/>
                </w:tcPr>
                <w:p w14:paraId="10668E6E">
                  <w:pPr>
                    <w:pStyle w:val="33"/>
                    <w:rPr>
                      <w:color w:val="auto"/>
                    </w:rPr>
                  </w:pPr>
                </w:p>
              </w:tc>
            </w:tr>
            <w:tr w14:paraId="24E2FF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Borders>
                    <w:tl2br w:val="nil"/>
                    <w:tr2bl w:val="nil"/>
                  </w:tcBorders>
                  <w:vAlign w:val="center"/>
                </w:tcPr>
                <w:p w14:paraId="5246D448">
                  <w:pPr>
                    <w:pStyle w:val="33"/>
                    <w:rPr>
                      <w:color w:val="auto"/>
                    </w:rPr>
                  </w:pPr>
                  <w:r>
                    <w:rPr>
                      <w:rFonts w:hint="eastAsia"/>
                      <w:color w:val="auto"/>
                    </w:rPr>
                    <w:t>大气环境</w:t>
                  </w:r>
                </w:p>
              </w:tc>
              <w:tc>
                <w:tcPr>
                  <w:tcW w:w="720" w:type="dxa"/>
                  <w:tcBorders>
                    <w:tl2br w:val="nil"/>
                    <w:tr2bl w:val="nil"/>
                  </w:tcBorders>
                  <w:vAlign w:val="center"/>
                </w:tcPr>
                <w:p w14:paraId="024AB75C">
                  <w:pPr>
                    <w:pStyle w:val="33"/>
                    <w:rPr>
                      <w:color w:val="auto"/>
                    </w:rPr>
                  </w:pPr>
                  <w:r>
                    <w:rPr>
                      <w:color w:val="auto"/>
                    </w:rPr>
                    <w:t>紫域·白莲国际城</w:t>
                  </w:r>
                </w:p>
              </w:tc>
              <w:tc>
                <w:tcPr>
                  <w:tcW w:w="702" w:type="dxa"/>
                  <w:tcBorders>
                    <w:tl2br w:val="nil"/>
                    <w:tr2bl w:val="nil"/>
                  </w:tcBorders>
                  <w:vAlign w:val="center"/>
                </w:tcPr>
                <w:p w14:paraId="0768F8CD">
                  <w:pPr>
                    <w:pStyle w:val="33"/>
                    <w:rPr>
                      <w:color w:val="auto"/>
                    </w:rPr>
                  </w:pPr>
                  <w:r>
                    <w:rPr>
                      <w:color w:val="auto"/>
                    </w:rPr>
                    <w:t>109°25′34.368″</w:t>
                  </w:r>
                </w:p>
              </w:tc>
              <w:tc>
                <w:tcPr>
                  <w:tcW w:w="782" w:type="dxa"/>
                  <w:tcBorders>
                    <w:tl2br w:val="nil"/>
                    <w:tr2bl w:val="nil"/>
                  </w:tcBorders>
                  <w:vAlign w:val="center"/>
                </w:tcPr>
                <w:p w14:paraId="611D82AD">
                  <w:pPr>
                    <w:pStyle w:val="33"/>
                    <w:rPr>
                      <w:color w:val="auto"/>
                    </w:rPr>
                  </w:pPr>
                  <w:r>
                    <w:rPr>
                      <w:rFonts w:hint="eastAsia"/>
                      <w:color w:val="auto"/>
                    </w:rPr>
                    <w:t>24</w:t>
                  </w:r>
                  <w:r>
                    <w:rPr>
                      <w:color w:val="auto"/>
                    </w:rPr>
                    <w:t>°11′35.26</w:t>
                  </w:r>
                  <w:r>
                    <w:rPr>
                      <w:rFonts w:hint="eastAsia"/>
                      <w:color w:val="auto"/>
                    </w:rPr>
                    <w:t>9</w:t>
                  </w:r>
                  <w:r>
                    <w:rPr>
                      <w:color w:val="auto"/>
                    </w:rPr>
                    <w:t>″</w:t>
                  </w:r>
                </w:p>
              </w:tc>
              <w:tc>
                <w:tcPr>
                  <w:tcW w:w="647" w:type="dxa"/>
                  <w:tcBorders>
                    <w:tl2br w:val="nil"/>
                    <w:tr2bl w:val="nil"/>
                  </w:tcBorders>
                  <w:vAlign w:val="center"/>
                </w:tcPr>
                <w:p w14:paraId="442B0C24">
                  <w:pPr>
                    <w:pStyle w:val="33"/>
                    <w:rPr>
                      <w:color w:val="auto"/>
                    </w:rPr>
                  </w:pPr>
                  <w:r>
                    <w:rPr>
                      <w:rFonts w:hint="eastAsia"/>
                      <w:color w:val="auto"/>
                    </w:rPr>
                    <w:t>350</w:t>
                  </w:r>
                </w:p>
              </w:tc>
              <w:tc>
                <w:tcPr>
                  <w:tcW w:w="682" w:type="dxa"/>
                  <w:tcBorders>
                    <w:tl2br w:val="nil"/>
                    <w:tr2bl w:val="nil"/>
                  </w:tcBorders>
                  <w:vAlign w:val="center"/>
                </w:tcPr>
                <w:p w14:paraId="427DA1D0">
                  <w:pPr>
                    <w:pStyle w:val="33"/>
                    <w:rPr>
                      <w:color w:val="auto"/>
                    </w:rPr>
                  </w:pPr>
                  <w:r>
                    <w:rPr>
                      <w:rFonts w:hint="eastAsia"/>
                      <w:color w:val="auto"/>
                    </w:rPr>
                    <w:t>东</w:t>
                  </w:r>
                </w:p>
              </w:tc>
              <w:tc>
                <w:tcPr>
                  <w:tcW w:w="660" w:type="dxa"/>
                  <w:tcBorders>
                    <w:tl2br w:val="nil"/>
                    <w:tr2bl w:val="nil"/>
                  </w:tcBorders>
                  <w:vAlign w:val="center"/>
                </w:tcPr>
                <w:p w14:paraId="68B56F25">
                  <w:pPr>
                    <w:pStyle w:val="33"/>
                    <w:rPr>
                      <w:color w:val="auto"/>
                    </w:rPr>
                  </w:pPr>
                  <w:r>
                    <w:rPr>
                      <w:rFonts w:hint="eastAsia"/>
                      <w:color w:val="auto"/>
                    </w:rPr>
                    <w:t>居民</w:t>
                  </w:r>
                </w:p>
              </w:tc>
              <w:tc>
                <w:tcPr>
                  <w:tcW w:w="745" w:type="dxa"/>
                  <w:tcBorders>
                    <w:tl2br w:val="nil"/>
                    <w:tr2bl w:val="nil"/>
                  </w:tcBorders>
                  <w:vAlign w:val="center"/>
                </w:tcPr>
                <w:p w14:paraId="1375BC54">
                  <w:pPr>
                    <w:pStyle w:val="33"/>
                    <w:rPr>
                      <w:color w:val="auto"/>
                    </w:rPr>
                  </w:pPr>
                  <w:r>
                    <w:rPr>
                      <w:rFonts w:hint="eastAsia"/>
                      <w:color w:val="auto"/>
                    </w:rPr>
                    <w:t>462户</w:t>
                  </w:r>
                </w:p>
              </w:tc>
              <w:tc>
                <w:tcPr>
                  <w:tcW w:w="848" w:type="dxa"/>
                  <w:tcBorders>
                    <w:tl2br w:val="nil"/>
                    <w:tr2bl w:val="nil"/>
                  </w:tcBorders>
                  <w:vAlign w:val="center"/>
                </w:tcPr>
                <w:p w14:paraId="26C6ACD9">
                  <w:pPr>
                    <w:pStyle w:val="33"/>
                    <w:rPr>
                      <w:color w:val="auto"/>
                    </w:rPr>
                  </w:pPr>
                  <w:r>
                    <w:rPr>
                      <w:rFonts w:hint="eastAsia"/>
                      <w:color w:val="auto"/>
                    </w:rPr>
                    <w:t>自来水</w:t>
                  </w:r>
                </w:p>
              </w:tc>
              <w:tc>
                <w:tcPr>
                  <w:tcW w:w="1155" w:type="dxa"/>
                  <w:tcBorders>
                    <w:tl2br w:val="nil"/>
                    <w:tr2bl w:val="nil"/>
                  </w:tcBorders>
                  <w:vAlign w:val="center"/>
                </w:tcPr>
                <w:p w14:paraId="2EE1BB81">
                  <w:pPr>
                    <w:pStyle w:val="33"/>
                    <w:rPr>
                      <w:color w:val="auto"/>
                    </w:rPr>
                  </w:pPr>
                  <w:r>
                    <w:rPr>
                      <w:color w:val="auto"/>
                    </w:rPr>
                    <w:t>《环境空气质量标准》（GB3095-2026）二级标准要求</w:t>
                  </w:r>
                </w:p>
              </w:tc>
            </w:tr>
            <w:tr w14:paraId="4BD50F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Borders>
                    <w:tl2br w:val="nil"/>
                    <w:tr2bl w:val="nil"/>
                  </w:tcBorders>
                  <w:vAlign w:val="center"/>
                </w:tcPr>
                <w:p w14:paraId="33822768">
                  <w:pPr>
                    <w:pStyle w:val="33"/>
                    <w:rPr>
                      <w:color w:val="auto"/>
                    </w:rPr>
                  </w:pPr>
                  <w:r>
                    <w:rPr>
                      <w:rFonts w:hint="eastAsia"/>
                      <w:color w:val="auto"/>
                    </w:rPr>
                    <w:t>地表水环境</w:t>
                  </w:r>
                </w:p>
              </w:tc>
              <w:tc>
                <w:tcPr>
                  <w:tcW w:w="6941" w:type="dxa"/>
                  <w:gridSpan w:val="9"/>
                  <w:tcBorders>
                    <w:tl2br w:val="nil"/>
                    <w:tr2bl w:val="nil"/>
                  </w:tcBorders>
                  <w:vAlign w:val="center"/>
                </w:tcPr>
                <w:p w14:paraId="232E8C9C">
                  <w:pPr>
                    <w:pStyle w:val="33"/>
                    <w:rPr>
                      <w:color w:val="auto"/>
                    </w:rPr>
                  </w:pPr>
                  <w:r>
                    <w:rPr>
                      <w:rFonts w:hint="eastAsia"/>
                      <w:color w:val="auto"/>
                    </w:rPr>
                    <w:t>本项目厂界外500米范围内无地表水保护目标。</w:t>
                  </w:r>
                </w:p>
              </w:tc>
            </w:tr>
            <w:tr w14:paraId="4D7931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Borders>
                    <w:tl2br w:val="nil"/>
                    <w:tr2bl w:val="nil"/>
                  </w:tcBorders>
                  <w:vAlign w:val="center"/>
                </w:tcPr>
                <w:p w14:paraId="47C4FD29">
                  <w:pPr>
                    <w:pStyle w:val="33"/>
                    <w:rPr>
                      <w:color w:val="auto"/>
                    </w:rPr>
                  </w:pPr>
                  <w:r>
                    <w:rPr>
                      <w:rFonts w:hint="eastAsia"/>
                      <w:color w:val="auto"/>
                    </w:rPr>
                    <w:t>地下水环境</w:t>
                  </w:r>
                </w:p>
              </w:tc>
              <w:tc>
                <w:tcPr>
                  <w:tcW w:w="6941" w:type="dxa"/>
                  <w:gridSpan w:val="9"/>
                  <w:tcBorders>
                    <w:tl2br w:val="nil"/>
                    <w:tr2bl w:val="nil"/>
                  </w:tcBorders>
                  <w:vAlign w:val="center"/>
                </w:tcPr>
                <w:p w14:paraId="6B30E2C9">
                  <w:pPr>
                    <w:pStyle w:val="33"/>
                    <w:rPr>
                      <w:color w:val="auto"/>
                    </w:rPr>
                  </w:pPr>
                  <w:r>
                    <w:rPr>
                      <w:rFonts w:hint="eastAsia"/>
                      <w:color w:val="auto"/>
                    </w:rPr>
                    <w:t>本项目厂界外500米范围内无地下水集中式饮用水水源和热水、矿泉水、温泉等特殊地下水源。</w:t>
                  </w:r>
                </w:p>
              </w:tc>
            </w:tr>
            <w:tr w14:paraId="10869C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1050" w:type="dxa"/>
                  <w:tcBorders>
                    <w:tl2br w:val="nil"/>
                    <w:tr2bl w:val="nil"/>
                  </w:tcBorders>
                  <w:vAlign w:val="center"/>
                </w:tcPr>
                <w:p w14:paraId="3D6CFEB3">
                  <w:pPr>
                    <w:pStyle w:val="33"/>
                    <w:rPr>
                      <w:color w:val="auto"/>
                    </w:rPr>
                  </w:pPr>
                  <w:r>
                    <w:rPr>
                      <w:rFonts w:hint="eastAsia"/>
                      <w:color w:val="auto"/>
                    </w:rPr>
                    <w:t>声环境</w:t>
                  </w:r>
                </w:p>
              </w:tc>
              <w:tc>
                <w:tcPr>
                  <w:tcW w:w="6941" w:type="dxa"/>
                  <w:gridSpan w:val="9"/>
                  <w:tcBorders>
                    <w:tl2br w:val="nil"/>
                    <w:tr2bl w:val="nil"/>
                  </w:tcBorders>
                  <w:vAlign w:val="center"/>
                </w:tcPr>
                <w:p w14:paraId="1973F4E4">
                  <w:pPr>
                    <w:pStyle w:val="33"/>
                    <w:rPr>
                      <w:color w:val="auto"/>
                    </w:rPr>
                  </w:pPr>
                  <w:r>
                    <w:rPr>
                      <w:color w:val="auto"/>
                    </w:rPr>
                    <w:t>本项目厂界外50米范围内无声环境保护目标。</w:t>
                  </w:r>
                </w:p>
              </w:tc>
            </w:tr>
            <w:tr w14:paraId="5C6B9E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Borders>
                    <w:tl2br w:val="nil"/>
                    <w:tr2bl w:val="nil"/>
                  </w:tcBorders>
                  <w:vAlign w:val="center"/>
                </w:tcPr>
                <w:p w14:paraId="173B4E3B">
                  <w:pPr>
                    <w:pStyle w:val="33"/>
                    <w:rPr>
                      <w:color w:val="auto"/>
                    </w:rPr>
                  </w:pPr>
                  <w:r>
                    <w:rPr>
                      <w:rFonts w:hint="eastAsia"/>
                      <w:color w:val="auto"/>
                    </w:rPr>
                    <w:t>生态环境</w:t>
                  </w:r>
                </w:p>
              </w:tc>
              <w:tc>
                <w:tcPr>
                  <w:tcW w:w="6941" w:type="dxa"/>
                  <w:gridSpan w:val="9"/>
                  <w:tcBorders>
                    <w:tl2br w:val="nil"/>
                    <w:tr2bl w:val="nil"/>
                  </w:tcBorders>
                  <w:vAlign w:val="center"/>
                </w:tcPr>
                <w:p w14:paraId="5934DF69">
                  <w:pPr>
                    <w:pStyle w:val="33"/>
                    <w:rPr>
                      <w:color w:val="auto"/>
                    </w:rPr>
                  </w:pPr>
                  <w:r>
                    <w:rPr>
                      <w:rFonts w:hint="eastAsia"/>
                      <w:color w:val="auto"/>
                    </w:rPr>
                    <w:t>项目用地范围内无</w:t>
                  </w:r>
                  <w:r>
                    <w:rPr>
                      <w:color w:val="auto"/>
                    </w:rPr>
                    <w:t>生态环境保护目标。</w:t>
                  </w:r>
                </w:p>
              </w:tc>
            </w:tr>
          </w:tbl>
          <w:p w14:paraId="27BBE301">
            <w:pPr>
              <w:ind w:firstLine="480"/>
              <w:rPr>
                <w:color w:val="auto"/>
              </w:rPr>
            </w:pPr>
          </w:p>
        </w:tc>
      </w:tr>
      <w:tr w14:paraId="74F091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2" w:type="dxa"/>
            <w:tcMar>
              <w:left w:w="28" w:type="dxa"/>
              <w:right w:w="28" w:type="dxa"/>
            </w:tcMar>
            <w:vAlign w:val="center"/>
          </w:tcPr>
          <w:p w14:paraId="200CD88B">
            <w:pPr>
              <w:adjustRightInd w:val="0"/>
              <w:snapToGrid w:val="0"/>
              <w:ind w:firstLine="0" w:firstLineChars="0"/>
              <w:jc w:val="center"/>
              <w:rPr>
                <w:rFonts w:hint="eastAsia" w:ascii="宋体" w:hAnsi="宋体" w:cs="宋体"/>
                <w:color w:val="auto"/>
                <w:kern w:val="0"/>
                <w:szCs w:val="21"/>
              </w:rPr>
            </w:pPr>
            <w:r>
              <w:rPr>
                <w:rFonts w:hint="eastAsia" w:ascii="宋体" w:hAnsi="宋体" w:cs="宋体"/>
                <w:color w:val="auto"/>
                <w:kern w:val="0"/>
                <w:szCs w:val="21"/>
              </w:rPr>
              <w:t>污染物排放控制标准</w:t>
            </w:r>
          </w:p>
        </w:tc>
        <w:tc>
          <w:tcPr>
            <w:tcW w:w="8215" w:type="dxa"/>
          </w:tcPr>
          <w:p w14:paraId="27DC0EA9">
            <w:pPr>
              <w:ind w:firstLine="482"/>
              <w:jc w:val="left"/>
              <w:rPr>
                <w:color w:val="auto"/>
              </w:rPr>
            </w:pPr>
            <w:r>
              <w:rPr>
                <w:rFonts w:hint="eastAsia"/>
                <w:b/>
                <w:bCs/>
                <w:color w:val="auto"/>
              </w:rPr>
              <w:t>1、废气排放标准</w:t>
            </w:r>
          </w:p>
          <w:p w14:paraId="402B2BC8">
            <w:pPr>
              <w:ind w:firstLine="480"/>
              <w:jc w:val="left"/>
              <w:rPr>
                <w:color w:val="auto"/>
              </w:rPr>
            </w:pPr>
            <w:r>
              <w:rPr>
                <w:color w:val="auto"/>
              </w:rPr>
              <w:t>本项目运营期废气主要包括生产过程中产生的粉尘、调配熟制过程中产生的油烟及异味，以及天然气燃烧产生的燃烧废气。</w:t>
            </w:r>
          </w:p>
          <w:p w14:paraId="533B6EF2">
            <w:pPr>
              <w:ind w:firstLine="480"/>
              <w:jc w:val="left"/>
              <w:rPr>
                <w:color w:val="auto"/>
              </w:rPr>
            </w:pPr>
            <w:r>
              <w:rPr>
                <w:rFonts w:hint="eastAsia"/>
                <w:color w:val="auto"/>
              </w:rPr>
              <w:t>（1）粉尘</w:t>
            </w:r>
          </w:p>
          <w:p w14:paraId="2A1C2B35">
            <w:pPr>
              <w:ind w:firstLine="480"/>
              <w:jc w:val="left"/>
              <w:rPr>
                <w:color w:val="auto"/>
              </w:rPr>
            </w:pPr>
            <w:r>
              <w:rPr>
                <w:rFonts w:hint="eastAsia"/>
                <w:color w:val="auto"/>
              </w:rPr>
              <w:t>项目粉状原料投料及固体调味料粉碎、混合、制粒和包装过程中产生少量颗粒物。经企业核实，项目产尘量较小，采取设备密闭、缓慢投料、降低物料落差、加强车间通风及及时清扫等措施后，颗粒物在车间内无组织排放，厂界颗粒物执行《大气污染物综合排放标准》（GB 16297—1996）表2无组织排放监控浓度限值。</w:t>
            </w:r>
          </w:p>
          <w:p w14:paraId="15B25C4F">
            <w:pPr>
              <w:ind w:firstLine="480"/>
              <w:jc w:val="left"/>
              <w:rPr>
                <w:color w:val="auto"/>
              </w:rPr>
            </w:pPr>
            <w:r>
              <w:rPr>
                <w:rFonts w:hint="eastAsia"/>
                <w:color w:val="auto"/>
              </w:rPr>
              <w:t>（2）油烟及天然气燃烧废气</w:t>
            </w:r>
          </w:p>
          <w:p w14:paraId="748975D5">
            <w:pPr>
              <w:ind w:firstLine="480"/>
              <w:jc w:val="left"/>
              <w:rPr>
                <w:color w:val="auto"/>
              </w:rPr>
            </w:pPr>
            <w:r>
              <w:rPr>
                <w:rFonts w:hint="eastAsia"/>
                <w:color w:val="auto"/>
              </w:rPr>
              <w:t>项目熟制、炒制过程中产生油烟及食品加工异味，废气经集气罩收集后采用油烟净化设施处理；天然气燃烧废气随熟制、炒制废气一并收集，最终通过1根18 m高排气筒（DA001）排放。油烟参照执行《饮食业油烟排放标准（试行）》（GB 18483—2001）相关限值，天然气燃烧废气中的颗粒物、二氧化硫和氮氧化物执行《大气污染物综合排放标准》（GB 16297—1996）表2二级标准，臭气浓度执行《恶臭污染物排放标准》（GB 14554—93）。</w:t>
            </w:r>
          </w:p>
          <w:p w14:paraId="6B14A857">
            <w:pPr>
              <w:pStyle w:val="35"/>
              <w:rPr>
                <w:rFonts w:hint="default"/>
                <w:color w:val="auto"/>
              </w:rPr>
            </w:pPr>
            <w:r>
              <w:rPr>
                <w:color w:val="auto"/>
              </w:rPr>
              <w:t>表3-5 《大气污染物综合排放标准》（GB16297-1996）</w:t>
            </w:r>
          </w:p>
          <w:tbl>
            <w:tblPr>
              <w:tblStyle w:val="17"/>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50"/>
              <w:gridCol w:w="1605"/>
              <w:gridCol w:w="1378"/>
              <w:gridCol w:w="1378"/>
              <w:gridCol w:w="1379"/>
              <w:gridCol w:w="1384"/>
            </w:tblGrid>
            <w:tr w14:paraId="2BC82D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95" w:type="pct"/>
                  <w:vMerge w:val="restart"/>
                  <w:tcBorders>
                    <w:tl2br w:val="nil"/>
                    <w:tr2bl w:val="nil"/>
                  </w:tcBorders>
                  <w:vAlign w:val="center"/>
                </w:tcPr>
                <w:p w14:paraId="128B0034">
                  <w:pPr>
                    <w:pStyle w:val="33"/>
                    <w:rPr>
                      <w:color w:val="auto"/>
                    </w:rPr>
                  </w:pPr>
                  <w:r>
                    <w:rPr>
                      <w:rFonts w:hint="eastAsia"/>
                      <w:color w:val="auto"/>
                    </w:rPr>
                    <w:t>污染物</w:t>
                  </w:r>
                </w:p>
              </w:tc>
              <w:tc>
                <w:tcPr>
                  <w:tcW w:w="970" w:type="pct"/>
                  <w:vMerge w:val="restart"/>
                  <w:tcBorders>
                    <w:tl2br w:val="nil"/>
                    <w:tr2bl w:val="nil"/>
                  </w:tcBorders>
                  <w:vAlign w:val="center"/>
                </w:tcPr>
                <w:p w14:paraId="79938242">
                  <w:pPr>
                    <w:pStyle w:val="33"/>
                    <w:rPr>
                      <w:color w:val="auto"/>
                    </w:rPr>
                  </w:pPr>
                  <w:r>
                    <w:rPr>
                      <w:rFonts w:hint="eastAsia"/>
                      <w:color w:val="auto"/>
                    </w:rPr>
                    <w:t>最高允许排放浓度mg/m</w:t>
                  </w:r>
                  <w:r>
                    <w:rPr>
                      <w:rFonts w:hint="eastAsia"/>
                      <w:color w:val="auto"/>
                      <w:vertAlign w:val="superscript"/>
                    </w:rPr>
                    <w:t>3</w:t>
                  </w:r>
                </w:p>
              </w:tc>
              <w:tc>
                <w:tcPr>
                  <w:tcW w:w="1666" w:type="pct"/>
                  <w:gridSpan w:val="2"/>
                  <w:tcBorders>
                    <w:tl2br w:val="nil"/>
                    <w:tr2bl w:val="nil"/>
                  </w:tcBorders>
                  <w:vAlign w:val="center"/>
                </w:tcPr>
                <w:p w14:paraId="2AF92719">
                  <w:pPr>
                    <w:pStyle w:val="33"/>
                    <w:rPr>
                      <w:color w:val="auto"/>
                    </w:rPr>
                  </w:pPr>
                  <w:r>
                    <w:rPr>
                      <w:rFonts w:hint="eastAsia"/>
                      <w:color w:val="auto"/>
                    </w:rPr>
                    <w:t>最高允许排放速率，kg/h</w:t>
                  </w:r>
                </w:p>
              </w:tc>
              <w:tc>
                <w:tcPr>
                  <w:tcW w:w="1667" w:type="pct"/>
                  <w:gridSpan w:val="2"/>
                  <w:tcBorders>
                    <w:tl2br w:val="nil"/>
                    <w:tr2bl w:val="nil"/>
                  </w:tcBorders>
                  <w:vAlign w:val="center"/>
                </w:tcPr>
                <w:p w14:paraId="335DAD25">
                  <w:pPr>
                    <w:pStyle w:val="33"/>
                    <w:rPr>
                      <w:color w:val="auto"/>
                    </w:rPr>
                  </w:pPr>
                  <w:r>
                    <w:rPr>
                      <w:rFonts w:hint="eastAsia"/>
                      <w:color w:val="auto"/>
                    </w:rPr>
                    <w:t>无组织排放监控浓度限值</w:t>
                  </w:r>
                </w:p>
              </w:tc>
            </w:tr>
            <w:tr w14:paraId="789A0D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95" w:type="pct"/>
                  <w:vMerge w:val="continue"/>
                  <w:tcBorders>
                    <w:tl2br w:val="nil"/>
                    <w:tr2bl w:val="nil"/>
                  </w:tcBorders>
                  <w:vAlign w:val="center"/>
                </w:tcPr>
                <w:p w14:paraId="398EDE69">
                  <w:pPr>
                    <w:pStyle w:val="33"/>
                    <w:rPr>
                      <w:color w:val="auto"/>
                    </w:rPr>
                  </w:pPr>
                </w:p>
              </w:tc>
              <w:tc>
                <w:tcPr>
                  <w:tcW w:w="970" w:type="pct"/>
                  <w:vMerge w:val="continue"/>
                  <w:tcBorders>
                    <w:tl2br w:val="nil"/>
                    <w:tr2bl w:val="nil"/>
                  </w:tcBorders>
                  <w:vAlign w:val="center"/>
                </w:tcPr>
                <w:p w14:paraId="38F73192">
                  <w:pPr>
                    <w:pStyle w:val="33"/>
                    <w:rPr>
                      <w:color w:val="auto"/>
                    </w:rPr>
                  </w:pPr>
                </w:p>
              </w:tc>
              <w:tc>
                <w:tcPr>
                  <w:tcW w:w="833" w:type="pct"/>
                  <w:tcBorders>
                    <w:tl2br w:val="nil"/>
                    <w:tr2bl w:val="nil"/>
                  </w:tcBorders>
                  <w:vAlign w:val="center"/>
                </w:tcPr>
                <w:p w14:paraId="7E357631">
                  <w:pPr>
                    <w:pStyle w:val="33"/>
                    <w:rPr>
                      <w:color w:val="auto"/>
                    </w:rPr>
                  </w:pPr>
                  <w:r>
                    <w:rPr>
                      <w:rFonts w:hint="eastAsia"/>
                      <w:color w:val="auto"/>
                    </w:rPr>
                    <w:t>排气筒高度</w:t>
                  </w:r>
                </w:p>
              </w:tc>
              <w:tc>
                <w:tcPr>
                  <w:tcW w:w="833" w:type="pct"/>
                  <w:tcBorders>
                    <w:tl2br w:val="nil"/>
                    <w:tr2bl w:val="nil"/>
                  </w:tcBorders>
                  <w:vAlign w:val="center"/>
                </w:tcPr>
                <w:p w14:paraId="640432EE">
                  <w:pPr>
                    <w:pStyle w:val="33"/>
                    <w:rPr>
                      <w:color w:val="auto"/>
                    </w:rPr>
                  </w:pPr>
                  <w:r>
                    <w:rPr>
                      <w:rFonts w:hint="eastAsia"/>
                      <w:color w:val="auto"/>
                    </w:rPr>
                    <w:t>二级</w:t>
                  </w:r>
                </w:p>
              </w:tc>
              <w:tc>
                <w:tcPr>
                  <w:tcW w:w="833" w:type="pct"/>
                  <w:tcBorders>
                    <w:tl2br w:val="nil"/>
                    <w:tr2bl w:val="nil"/>
                  </w:tcBorders>
                  <w:vAlign w:val="center"/>
                </w:tcPr>
                <w:p w14:paraId="1022BB7E">
                  <w:pPr>
                    <w:pStyle w:val="33"/>
                    <w:rPr>
                      <w:color w:val="auto"/>
                    </w:rPr>
                  </w:pPr>
                  <w:r>
                    <w:rPr>
                      <w:rFonts w:hint="eastAsia"/>
                      <w:color w:val="auto"/>
                    </w:rPr>
                    <w:t>监控点</w:t>
                  </w:r>
                </w:p>
              </w:tc>
              <w:tc>
                <w:tcPr>
                  <w:tcW w:w="833" w:type="pct"/>
                  <w:tcBorders>
                    <w:tl2br w:val="nil"/>
                    <w:tr2bl w:val="nil"/>
                  </w:tcBorders>
                  <w:vAlign w:val="center"/>
                </w:tcPr>
                <w:p w14:paraId="1F7F7AE3">
                  <w:pPr>
                    <w:pStyle w:val="33"/>
                    <w:rPr>
                      <w:color w:val="auto"/>
                    </w:rPr>
                  </w:pPr>
                  <w:r>
                    <w:rPr>
                      <w:rFonts w:hint="eastAsia"/>
                      <w:color w:val="auto"/>
                    </w:rPr>
                    <w:t>浓度mg/m</w:t>
                  </w:r>
                  <w:r>
                    <w:rPr>
                      <w:rFonts w:hint="eastAsia"/>
                      <w:color w:val="auto"/>
                      <w:vertAlign w:val="superscript"/>
                    </w:rPr>
                    <w:t>3</w:t>
                  </w:r>
                </w:p>
              </w:tc>
            </w:tr>
            <w:tr w14:paraId="30551C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5" w:type="pct"/>
                  <w:tcBorders>
                    <w:tl2br w:val="nil"/>
                    <w:tr2bl w:val="nil"/>
                  </w:tcBorders>
                  <w:vAlign w:val="center"/>
                </w:tcPr>
                <w:p w14:paraId="48F4EECA">
                  <w:pPr>
                    <w:pStyle w:val="33"/>
                    <w:rPr>
                      <w:color w:val="auto"/>
                    </w:rPr>
                  </w:pPr>
                  <w:r>
                    <w:rPr>
                      <w:rFonts w:hint="eastAsia"/>
                      <w:color w:val="auto"/>
                    </w:rPr>
                    <w:t>二氧化硫</w:t>
                  </w:r>
                </w:p>
              </w:tc>
              <w:tc>
                <w:tcPr>
                  <w:tcW w:w="970" w:type="pct"/>
                  <w:tcBorders>
                    <w:tl2br w:val="nil"/>
                    <w:tr2bl w:val="nil"/>
                  </w:tcBorders>
                  <w:vAlign w:val="center"/>
                </w:tcPr>
                <w:p w14:paraId="7779A780">
                  <w:pPr>
                    <w:pStyle w:val="33"/>
                    <w:rPr>
                      <w:color w:val="auto"/>
                    </w:rPr>
                  </w:pPr>
                  <w:r>
                    <w:rPr>
                      <w:rFonts w:hint="eastAsia"/>
                      <w:color w:val="auto"/>
                    </w:rPr>
                    <w:t>550</w:t>
                  </w:r>
                </w:p>
              </w:tc>
              <w:tc>
                <w:tcPr>
                  <w:tcW w:w="833" w:type="pct"/>
                  <w:vMerge w:val="restart"/>
                  <w:tcBorders>
                    <w:tl2br w:val="nil"/>
                    <w:tr2bl w:val="nil"/>
                  </w:tcBorders>
                  <w:vAlign w:val="center"/>
                </w:tcPr>
                <w:p w14:paraId="111BDDD4">
                  <w:pPr>
                    <w:pStyle w:val="33"/>
                    <w:rPr>
                      <w:color w:val="auto"/>
                    </w:rPr>
                  </w:pPr>
                  <w:r>
                    <w:rPr>
                      <w:rFonts w:hint="eastAsia"/>
                      <w:color w:val="auto"/>
                    </w:rPr>
                    <w:t>18m</w:t>
                  </w:r>
                </w:p>
              </w:tc>
              <w:tc>
                <w:tcPr>
                  <w:tcW w:w="833" w:type="pct"/>
                  <w:tcBorders>
                    <w:tl2br w:val="nil"/>
                    <w:tr2bl w:val="nil"/>
                  </w:tcBorders>
                  <w:vAlign w:val="center"/>
                </w:tcPr>
                <w:p w14:paraId="7519B919">
                  <w:pPr>
                    <w:pStyle w:val="33"/>
                    <w:rPr>
                      <w:rFonts w:hint="default" w:eastAsia="宋体"/>
                      <w:color w:val="auto"/>
                      <w:lang w:val="en-US" w:eastAsia="zh-CN"/>
                    </w:rPr>
                  </w:pPr>
                  <w:r>
                    <w:rPr>
                      <w:rFonts w:hint="eastAsia"/>
                      <w:color w:val="auto"/>
                      <w:lang w:val="en-US" w:eastAsia="zh-CN"/>
                    </w:rPr>
                    <w:t>3.62</w:t>
                  </w:r>
                </w:p>
              </w:tc>
              <w:tc>
                <w:tcPr>
                  <w:tcW w:w="833" w:type="pct"/>
                  <w:tcBorders>
                    <w:tl2br w:val="nil"/>
                    <w:tr2bl w:val="nil"/>
                  </w:tcBorders>
                  <w:vAlign w:val="center"/>
                </w:tcPr>
                <w:p w14:paraId="76DEDEED">
                  <w:pPr>
                    <w:pStyle w:val="33"/>
                    <w:rPr>
                      <w:color w:val="auto"/>
                    </w:rPr>
                  </w:pPr>
                  <w:r>
                    <w:rPr>
                      <w:rFonts w:hint="eastAsia"/>
                      <w:color w:val="auto"/>
                    </w:rPr>
                    <w:t>周界外浓度最高点</w:t>
                  </w:r>
                </w:p>
              </w:tc>
              <w:tc>
                <w:tcPr>
                  <w:tcW w:w="833" w:type="pct"/>
                  <w:tcBorders>
                    <w:tl2br w:val="nil"/>
                    <w:tr2bl w:val="nil"/>
                  </w:tcBorders>
                  <w:vAlign w:val="center"/>
                </w:tcPr>
                <w:p w14:paraId="5F1B2B33">
                  <w:pPr>
                    <w:pStyle w:val="33"/>
                    <w:rPr>
                      <w:color w:val="auto"/>
                    </w:rPr>
                  </w:pPr>
                  <w:r>
                    <w:rPr>
                      <w:rFonts w:hint="eastAsia"/>
                      <w:color w:val="auto"/>
                    </w:rPr>
                    <w:t>0.4</w:t>
                  </w:r>
                </w:p>
              </w:tc>
            </w:tr>
            <w:tr w14:paraId="2100C9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5" w:type="pct"/>
                  <w:tcBorders>
                    <w:tl2br w:val="nil"/>
                    <w:tr2bl w:val="nil"/>
                  </w:tcBorders>
                  <w:vAlign w:val="center"/>
                </w:tcPr>
                <w:p w14:paraId="4C2672E4">
                  <w:pPr>
                    <w:pStyle w:val="33"/>
                    <w:rPr>
                      <w:color w:val="auto"/>
                    </w:rPr>
                  </w:pPr>
                  <w:r>
                    <w:rPr>
                      <w:rFonts w:hint="eastAsia"/>
                      <w:color w:val="auto"/>
                    </w:rPr>
                    <w:t>氮氧化物</w:t>
                  </w:r>
                </w:p>
              </w:tc>
              <w:tc>
                <w:tcPr>
                  <w:tcW w:w="970" w:type="pct"/>
                  <w:tcBorders>
                    <w:tl2br w:val="nil"/>
                    <w:tr2bl w:val="nil"/>
                  </w:tcBorders>
                  <w:vAlign w:val="center"/>
                </w:tcPr>
                <w:p w14:paraId="7A12636D">
                  <w:pPr>
                    <w:pStyle w:val="33"/>
                    <w:rPr>
                      <w:color w:val="auto"/>
                    </w:rPr>
                  </w:pPr>
                  <w:r>
                    <w:rPr>
                      <w:rFonts w:hint="eastAsia"/>
                      <w:color w:val="auto"/>
                    </w:rPr>
                    <w:t>240</w:t>
                  </w:r>
                </w:p>
              </w:tc>
              <w:tc>
                <w:tcPr>
                  <w:tcW w:w="833" w:type="pct"/>
                  <w:vMerge w:val="continue"/>
                  <w:tcBorders>
                    <w:tl2br w:val="nil"/>
                    <w:tr2bl w:val="nil"/>
                  </w:tcBorders>
                  <w:vAlign w:val="center"/>
                </w:tcPr>
                <w:p w14:paraId="2E7D3B31">
                  <w:pPr>
                    <w:pStyle w:val="33"/>
                    <w:rPr>
                      <w:color w:val="auto"/>
                    </w:rPr>
                  </w:pPr>
                </w:p>
              </w:tc>
              <w:tc>
                <w:tcPr>
                  <w:tcW w:w="833" w:type="pct"/>
                  <w:tcBorders>
                    <w:tl2br w:val="nil"/>
                    <w:tr2bl w:val="nil"/>
                  </w:tcBorders>
                  <w:vAlign w:val="center"/>
                </w:tcPr>
                <w:p w14:paraId="1554A48A">
                  <w:pPr>
                    <w:pStyle w:val="33"/>
                    <w:rPr>
                      <w:rFonts w:hint="default" w:eastAsia="宋体"/>
                      <w:color w:val="auto"/>
                      <w:lang w:val="en-US" w:eastAsia="zh-CN"/>
                    </w:rPr>
                  </w:pPr>
                  <w:r>
                    <w:rPr>
                      <w:rFonts w:hint="eastAsia"/>
                      <w:color w:val="auto"/>
                    </w:rPr>
                    <w:t>1.</w:t>
                  </w:r>
                  <w:r>
                    <w:rPr>
                      <w:rFonts w:hint="eastAsia"/>
                      <w:color w:val="auto"/>
                      <w:lang w:val="en-US" w:eastAsia="zh-CN"/>
                    </w:rPr>
                    <w:t>09</w:t>
                  </w:r>
                </w:p>
              </w:tc>
              <w:tc>
                <w:tcPr>
                  <w:tcW w:w="833" w:type="pct"/>
                  <w:tcBorders>
                    <w:tl2br w:val="nil"/>
                    <w:tr2bl w:val="nil"/>
                  </w:tcBorders>
                  <w:vAlign w:val="center"/>
                </w:tcPr>
                <w:p w14:paraId="6B38FE86">
                  <w:pPr>
                    <w:pStyle w:val="33"/>
                    <w:rPr>
                      <w:color w:val="auto"/>
                    </w:rPr>
                  </w:pPr>
                  <w:r>
                    <w:rPr>
                      <w:color w:val="auto"/>
                    </w:rPr>
                    <w:t>周界外浓度最高点</w:t>
                  </w:r>
                </w:p>
              </w:tc>
              <w:tc>
                <w:tcPr>
                  <w:tcW w:w="833" w:type="pct"/>
                  <w:tcBorders>
                    <w:tl2br w:val="nil"/>
                    <w:tr2bl w:val="nil"/>
                  </w:tcBorders>
                  <w:vAlign w:val="center"/>
                </w:tcPr>
                <w:p w14:paraId="048943F5">
                  <w:pPr>
                    <w:pStyle w:val="33"/>
                    <w:rPr>
                      <w:color w:val="auto"/>
                    </w:rPr>
                  </w:pPr>
                  <w:r>
                    <w:rPr>
                      <w:rFonts w:hint="eastAsia"/>
                      <w:color w:val="auto"/>
                    </w:rPr>
                    <w:t>0.12</w:t>
                  </w:r>
                </w:p>
              </w:tc>
            </w:tr>
            <w:tr w14:paraId="4FB29B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5" w:type="pct"/>
                  <w:tcBorders>
                    <w:tl2br w:val="nil"/>
                    <w:tr2bl w:val="nil"/>
                  </w:tcBorders>
                  <w:vAlign w:val="center"/>
                </w:tcPr>
                <w:p w14:paraId="363C0FA6">
                  <w:pPr>
                    <w:pStyle w:val="33"/>
                    <w:rPr>
                      <w:color w:val="auto"/>
                    </w:rPr>
                  </w:pPr>
                  <w:r>
                    <w:rPr>
                      <w:rFonts w:hint="eastAsia"/>
                      <w:color w:val="auto"/>
                    </w:rPr>
                    <w:t>颗粒物</w:t>
                  </w:r>
                </w:p>
              </w:tc>
              <w:tc>
                <w:tcPr>
                  <w:tcW w:w="970" w:type="pct"/>
                  <w:tcBorders>
                    <w:tl2br w:val="nil"/>
                    <w:tr2bl w:val="nil"/>
                  </w:tcBorders>
                  <w:vAlign w:val="center"/>
                </w:tcPr>
                <w:p w14:paraId="39311DDC">
                  <w:pPr>
                    <w:pStyle w:val="33"/>
                    <w:rPr>
                      <w:color w:val="auto"/>
                    </w:rPr>
                  </w:pPr>
                  <w:r>
                    <w:rPr>
                      <w:rFonts w:hint="eastAsia"/>
                      <w:color w:val="auto"/>
                    </w:rPr>
                    <w:t>120</w:t>
                  </w:r>
                </w:p>
              </w:tc>
              <w:tc>
                <w:tcPr>
                  <w:tcW w:w="833" w:type="pct"/>
                  <w:vMerge w:val="continue"/>
                  <w:tcBorders>
                    <w:tl2br w:val="nil"/>
                    <w:tr2bl w:val="nil"/>
                  </w:tcBorders>
                  <w:vAlign w:val="center"/>
                </w:tcPr>
                <w:p w14:paraId="2C53507F">
                  <w:pPr>
                    <w:pStyle w:val="33"/>
                    <w:rPr>
                      <w:color w:val="auto"/>
                    </w:rPr>
                  </w:pPr>
                </w:p>
              </w:tc>
              <w:tc>
                <w:tcPr>
                  <w:tcW w:w="833" w:type="pct"/>
                  <w:tcBorders>
                    <w:tl2br w:val="nil"/>
                    <w:tr2bl w:val="nil"/>
                  </w:tcBorders>
                  <w:vAlign w:val="center"/>
                </w:tcPr>
                <w:p w14:paraId="1343EE3B">
                  <w:pPr>
                    <w:pStyle w:val="33"/>
                    <w:rPr>
                      <w:rFonts w:hint="default" w:eastAsia="宋体"/>
                      <w:color w:val="auto"/>
                      <w:lang w:val="en-US" w:eastAsia="zh-CN"/>
                    </w:rPr>
                  </w:pPr>
                  <w:r>
                    <w:rPr>
                      <w:rFonts w:hint="eastAsia"/>
                      <w:color w:val="auto"/>
                      <w:lang w:val="en-US" w:eastAsia="zh-CN"/>
                    </w:rPr>
                    <w:t>4.94</w:t>
                  </w:r>
                </w:p>
              </w:tc>
              <w:tc>
                <w:tcPr>
                  <w:tcW w:w="833" w:type="pct"/>
                  <w:tcBorders>
                    <w:tl2br w:val="nil"/>
                    <w:tr2bl w:val="nil"/>
                  </w:tcBorders>
                  <w:vAlign w:val="center"/>
                </w:tcPr>
                <w:p w14:paraId="30171BF6">
                  <w:pPr>
                    <w:pStyle w:val="33"/>
                    <w:rPr>
                      <w:color w:val="auto"/>
                    </w:rPr>
                  </w:pPr>
                  <w:r>
                    <w:rPr>
                      <w:color w:val="auto"/>
                    </w:rPr>
                    <w:t>周界外浓度最高点</w:t>
                  </w:r>
                </w:p>
              </w:tc>
              <w:tc>
                <w:tcPr>
                  <w:tcW w:w="833" w:type="pct"/>
                  <w:tcBorders>
                    <w:tl2br w:val="nil"/>
                    <w:tr2bl w:val="nil"/>
                  </w:tcBorders>
                  <w:vAlign w:val="center"/>
                </w:tcPr>
                <w:p w14:paraId="01986DA2">
                  <w:pPr>
                    <w:pStyle w:val="33"/>
                    <w:rPr>
                      <w:color w:val="auto"/>
                    </w:rPr>
                  </w:pPr>
                  <w:r>
                    <w:rPr>
                      <w:rFonts w:hint="eastAsia"/>
                      <w:color w:val="auto"/>
                    </w:rPr>
                    <w:t>1.0</w:t>
                  </w:r>
                </w:p>
              </w:tc>
            </w:tr>
            <w:tr w14:paraId="66E98B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6"/>
                  <w:tcBorders>
                    <w:tl2br w:val="nil"/>
                    <w:tr2bl w:val="nil"/>
                  </w:tcBorders>
                  <w:vAlign w:val="center"/>
                </w:tcPr>
                <w:p w14:paraId="11FE615B">
                  <w:pPr>
                    <w:pStyle w:val="33"/>
                    <w:jc w:val="both"/>
                    <w:rPr>
                      <w:color w:val="auto"/>
                    </w:rPr>
                  </w:pPr>
                  <w:r>
                    <w:rPr>
                      <w:rFonts w:hint="eastAsia"/>
                      <w:color w:val="auto"/>
                    </w:rPr>
                    <w:t>注：18 m排气筒最高允许排放速率根据GB 16297—1996附录B，采用15 m和20 m对应排放速率内插计算。若排气筒未高出周围200 m半径范围内最高建筑物5 m以上，则最高允许排放速率按上述数值的50%执行，即二氧化硫1.81 kg/h、氮氧化物0.545 kg/h、颗粒物2.47 kg/h。</w:t>
                  </w:r>
                </w:p>
              </w:tc>
            </w:tr>
          </w:tbl>
          <w:p w14:paraId="289D0E27">
            <w:pPr>
              <w:pStyle w:val="35"/>
              <w:rPr>
                <w:rFonts w:hint="default"/>
                <w:color w:val="auto"/>
              </w:rPr>
            </w:pPr>
            <w:r>
              <w:rPr>
                <w:color w:val="auto"/>
              </w:rPr>
              <w:t>表3-6 《饮食业油烟排放标准（试行）》（GB18483-2001）</w:t>
            </w:r>
          </w:p>
          <w:tbl>
            <w:tblPr>
              <w:tblStyle w:val="17"/>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913"/>
              <w:gridCol w:w="1973"/>
              <w:gridCol w:w="1907"/>
              <w:gridCol w:w="1481"/>
            </w:tblGrid>
            <w:tr w14:paraId="5C1A10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60" w:type="pct"/>
                  <w:tcBorders>
                    <w:tl2br w:val="nil"/>
                    <w:tr2bl w:val="nil"/>
                  </w:tcBorders>
                  <w:vAlign w:val="center"/>
                </w:tcPr>
                <w:p w14:paraId="2C34B008">
                  <w:pPr>
                    <w:pStyle w:val="33"/>
                    <w:rPr>
                      <w:color w:val="auto"/>
                    </w:rPr>
                  </w:pPr>
                  <w:r>
                    <w:rPr>
                      <w:rFonts w:hint="eastAsia"/>
                      <w:color w:val="auto"/>
                    </w:rPr>
                    <w:t>规模</w:t>
                  </w:r>
                </w:p>
              </w:tc>
              <w:tc>
                <w:tcPr>
                  <w:tcW w:w="1192" w:type="pct"/>
                  <w:tcBorders>
                    <w:tl2br w:val="nil"/>
                    <w:tr2bl w:val="nil"/>
                  </w:tcBorders>
                  <w:vAlign w:val="center"/>
                </w:tcPr>
                <w:p w14:paraId="7C51EFC8">
                  <w:pPr>
                    <w:pStyle w:val="33"/>
                    <w:rPr>
                      <w:color w:val="auto"/>
                    </w:rPr>
                  </w:pPr>
                  <w:r>
                    <w:rPr>
                      <w:rFonts w:hint="eastAsia"/>
                      <w:color w:val="auto"/>
                    </w:rPr>
                    <w:t>小型</w:t>
                  </w:r>
                </w:p>
              </w:tc>
              <w:tc>
                <w:tcPr>
                  <w:tcW w:w="1152" w:type="pct"/>
                  <w:tcBorders>
                    <w:tl2br w:val="nil"/>
                    <w:tr2bl w:val="nil"/>
                  </w:tcBorders>
                  <w:vAlign w:val="center"/>
                </w:tcPr>
                <w:p w14:paraId="6E68B36E">
                  <w:pPr>
                    <w:pStyle w:val="33"/>
                    <w:rPr>
                      <w:color w:val="auto"/>
                    </w:rPr>
                  </w:pPr>
                  <w:r>
                    <w:rPr>
                      <w:rFonts w:hint="eastAsia"/>
                      <w:color w:val="auto"/>
                    </w:rPr>
                    <w:t>中型</w:t>
                  </w:r>
                </w:p>
              </w:tc>
              <w:tc>
                <w:tcPr>
                  <w:tcW w:w="894" w:type="pct"/>
                  <w:tcBorders>
                    <w:tl2br w:val="nil"/>
                    <w:tr2bl w:val="nil"/>
                  </w:tcBorders>
                  <w:vAlign w:val="center"/>
                </w:tcPr>
                <w:p w14:paraId="41B872D4">
                  <w:pPr>
                    <w:pStyle w:val="33"/>
                    <w:rPr>
                      <w:color w:val="auto"/>
                    </w:rPr>
                  </w:pPr>
                  <w:r>
                    <w:rPr>
                      <w:rFonts w:hint="eastAsia"/>
                      <w:color w:val="auto"/>
                    </w:rPr>
                    <w:t>大型</w:t>
                  </w:r>
                </w:p>
              </w:tc>
            </w:tr>
            <w:tr w14:paraId="4D5233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60" w:type="pct"/>
                  <w:tcBorders>
                    <w:tl2br w:val="nil"/>
                    <w:tr2bl w:val="nil"/>
                  </w:tcBorders>
                  <w:vAlign w:val="center"/>
                </w:tcPr>
                <w:p w14:paraId="6EEC3E8E">
                  <w:pPr>
                    <w:pStyle w:val="33"/>
                    <w:rPr>
                      <w:color w:val="auto"/>
                    </w:rPr>
                  </w:pPr>
                  <w:r>
                    <w:rPr>
                      <w:rFonts w:hint="eastAsia"/>
                      <w:color w:val="auto"/>
                    </w:rPr>
                    <w:t>最高允许排放浓度（mg/m</w:t>
                  </w:r>
                  <w:r>
                    <w:rPr>
                      <w:rFonts w:hint="eastAsia"/>
                      <w:color w:val="auto"/>
                      <w:vertAlign w:val="superscript"/>
                    </w:rPr>
                    <w:t>3</w:t>
                  </w:r>
                  <w:r>
                    <w:rPr>
                      <w:rFonts w:hint="eastAsia"/>
                      <w:color w:val="auto"/>
                    </w:rPr>
                    <w:t>）</w:t>
                  </w:r>
                </w:p>
              </w:tc>
              <w:tc>
                <w:tcPr>
                  <w:tcW w:w="3239" w:type="pct"/>
                  <w:gridSpan w:val="3"/>
                  <w:tcBorders>
                    <w:tl2br w:val="nil"/>
                    <w:tr2bl w:val="nil"/>
                  </w:tcBorders>
                  <w:vAlign w:val="center"/>
                </w:tcPr>
                <w:p w14:paraId="7828B91B">
                  <w:pPr>
                    <w:pStyle w:val="33"/>
                    <w:rPr>
                      <w:color w:val="auto"/>
                    </w:rPr>
                  </w:pPr>
                  <w:r>
                    <w:rPr>
                      <w:rFonts w:hint="eastAsia"/>
                      <w:color w:val="auto"/>
                    </w:rPr>
                    <w:t>2.0</w:t>
                  </w:r>
                </w:p>
              </w:tc>
            </w:tr>
            <w:tr w14:paraId="0D9D30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60" w:type="pct"/>
                  <w:tcBorders>
                    <w:tl2br w:val="nil"/>
                    <w:tr2bl w:val="nil"/>
                  </w:tcBorders>
                  <w:vAlign w:val="center"/>
                </w:tcPr>
                <w:p w14:paraId="659AF899">
                  <w:pPr>
                    <w:pStyle w:val="33"/>
                    <w:rPr>
                      <w:color w:val="auto"/>
                    </w:rPr>
                  </w:pPr>
                  <w:r>
                    <w:rPr>
                      <w:rFonts w:hint="eastAsia"/>
                      <w:color w:val="auto"/>
                    </w:rPr>
                    <w:t>净化设施最低去除率（%）</w:t>
                  </w:r>
                </w:p>
              </w:tc>
              <w:tc>
                <w:tcPr>
                  <w:tcW w:w="1192" w:type="pct"/>
                  <w:tcBorders>
                    <w:tl2br w:val="nil"/>
                    <w:tr2bl w:val="nil"/>
                  </w:tcBorders>
                  <w:vAlign w:val="center"/>
                </w:tcPr>
                <w:p w14:paraId="053FE259">
                  <w:pPr>
                    <w:pStyle w:val="33"/>
                    <w:rPr>
                      <w:color w:val="auto"/>
                    </w:rPr>
                  </w:pPr>
                  <w:r>
                    <w:rPr>
                      <w:rFonts w:hint="eastAsia"/>
                      <w:color w:val="auto"/>
                    </w:rPr>
                    <w:t>60</w:t>
                  </w:r>
                </w:p>
              </w:tc>
              <w:tc>
                <w:tcPr>
                  <w:tcW w:w="1152" w:type="pct"/>
                  <w:tcBorders>
                    <w:tl2br w:val="nil"/>
                    <w:tr2bl w:val="nil"/>
                  </w:tcBorders>
                  <w:vAlign w:val="center"/>
                </w:tcPr>
                <w:p w14:paraId="7EDB1EDC">
                  <w:pPr>
                    <w:pStyle w:val="33"/>
                    <w:rPr>
                      <w:color w:val="auto"/>
                    </w:rPr>
                  </w:pPr>
                  <w:r>
                    <w:rPr>
                      <w:rFonts w:hint="eastAsia"/>
                      <w:color w:val="auto"/>
                    </w:rPr>
                    <w:t>75</w:t>
                  </w:r>
                </w:p>
              </w:tc>
              <w:tc>
                <w:tcPr>
                  <w:tcW w:w="894" w:type="pct"/>
                  <w:tcBorders>
                    <w:tl2br w:val="nil"/>
                    <w:tr2bl w:val="nil"/>
                  </w:tcBorders>
                  <w:vAlign w:val="center"/>
                </w:tcPr>
                <w:p w14:paraId="373BD668">
                  <w:pPr>
                    <w:pStyle w:val="33"/>
                    <w:rPr>
                      <w:color w:val="auto"/>
                    </w:rPr>
                  </w:pPr>
                  <w:r>
                    <w:rPr>
                      <w:rFonts w:hint="eastAsia"/>
                      <w:color w:val="auto"/>
                    </w:rPr>
                    <w:t>85</w:t>
                  </w:r>
                </w:p>
              </w:tc>
            </w:tr>
          </w:tbl>
          <w:p w14:paraId="2F1F3ED8">
            <w:pPr>
              <w:pStyle w:val="35"/>
              <w:bidi w:val="0"/>
              <w:rPr>
                <w:rFonts w:hint="eastAsia"/>
                <w:color w:val="auto"/>
                <w:lang w:val="en-US" w:eastAsia="zh-CN"/>
              </w:rPr>
            </w:pPr>
            <w:r>
              <w:rPr>
                <w:rFonts w:hint="eastAsia"/>
                <w:color w:val="auto"/>
                <w:lang w:val="en-US" w:eastAsia="zh-CN"/>
              </w:rPr>
              <w:t>表3-7 《恶臭污染物排放标准》（GB 14554—93）</w:t>
            </w:r>
          </w:p>
          <w:tbl>
            <w:tblPr>
              <w:tblStyle w:val="16"/>
              <w:tblW w:w="4998" w:type="pct"/>
              <w:tblInd w:w="0" w:type="dxa"/>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Layout w:type="autofit"/>
              <w:tblCellMar>
                <w:top w:w="0" w:type="dxa"/>
                <w:left w:w="108" w:type="dxa"/>
                <w:bottom w:w="0" w:type="dxa"/>
                <w:right w:w="108" w:type="dxa"/>
              </w:tblCellMar>
            </w:tblPr>
            <w:tblGrid>
              <w:gridCol w:w="2068"/>
              <w:gridCol w:w="2068"/>
              <w:gridCol w:w="2068"/>
              <w:gridCol w:w="2070"/>
            </w:tblGrid>
            <w:tr w14:paraId="01142DAC">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18" w:hRule="atLeast"/>
              </w:trPr>
              <w:tc>
                <w:tcPr>
                  <w:tcW w:w="1249" w:type="pct"/>
                  <w:tcBorders>
                    <w:tl2br w:val="nil"/>
                    <w:tr2bl w:val="nil"/>
                  </w:tcBorders>
                  <w:shd w:val="clear" w:color="auto" w:fill="auto"/>
                  <w:vAlign w:val="center"/>
                </w:tcPr>
                <w:p w14:paraId="371B2E8B">
                  <w:pPr>
                    <w:pStyle w:val="33"/>
                    <w:bidi w:val="0"/>
                    <w:rPr>
                      <w:rFonts w:hint="eastAsia"/>
                      <w:color w:val="auto"/>
                    </w:rPr>
                  </w:pPr>
                  <w:r>
                    <w:rPr>
                      <w:rFonts w:hint="eastAsia"/>
                      <w:color w:val="auto"/>
                      <w:lang w:val="en-US" w:eastAsia="zh-CN"/>
                    </w:rPr>
                    <w:t>污染物</w:t>
                  </w:r>
                </w:p>
              </w:tc>
              <w:tc>
                <w:tcPr>
                  <w:tcW w:w="1249" w:type="pct"/>
                  <w:tcBorders>
                    <w:tl2br w:val="nil"/>
                    <w:tr2bl w:val="nil"/>
                  </w:tcBorders>
                  <w:shd w:val="clear" w:color="auto" w:fill="auto"/>
                  <w:vAlign w:val="center"/>
                </w:tcPr>
                <w:p w14:paraId="396ED3B6">
                  <w:pPr>
                    <w:pStyle w:val="33"/>
                    <w:bidi w:val="0"/>
                    <w:rPr>
                      <w:rFonts w:hint="eastAsia"/>
                      <w:color w:val="auto"/>
                    </w:rPr>
                  </w:pPr>
                  <w:r>
                    <w:rPr>
                      <w:rFonts w:hint="eastAsia"/>
                      <w:color w:val="auto"/>
                      <w:lang w:val="en-US" w:eastAsia="zh-CN"/>
                    </w:rPr>
                    <w:t>排放方式</w:t>
                  </w:r>
                </w:p>
              </w:tc>
              <w:tc>
                <w:tcPr>
                  <w:tcW w:w="1249" w:type="pct"/>
                  <w:tcBorders>
                    <w:tl2br w:val="nil"/>
                    <w:tr2bl w:val="nil"/>
                  </w:tcBorders>
                  <w:shd w:val="clear" w:color="auto" w:fill="auto"/>
                  <w:vAlign w:val="center"/>
                </w:tcPr>
                <w:p w14:paraId="1C422323">
                  <w:pPr>
                    <w:pStyle w:val="33"/>
                    <w:bidi w:val="0"/>
                    <w:rPr>
                      <w:rFonts w:hint="eastAsia"/>
                      <w:color w:val="auto"/>
                    </w:rPr>
                  </w:pPr>
                  <w:r>
                    <w:rPr>
                      <w:rFonts w:hint="eastAsia"/>
                      <w:color w:val="auto"/>
                      <w:lang w:val="en-US" w:eastAsia="zh-CN"/>
                    </w:rPr>
                    <w:t>排气筒高度</w:t>
                  </w:r>
                </w:p>
              </w:tc>
              <w:tc>
                <w:tcPr>
                  <w:tcW w:w="1250" w:type="pct"/>
                  <w:tcBorders>
                    <w:tl2br w:val="nil"/>
                    <w:tr2bl w:val="nil"/>
                  </w:tcBorders>
                  <w:shd w:val="clear" w:color="auto" w:fill="auto"/>
                  <w:vAlign w:val="center"/>
                </w:tcPr>
                <w:p w14:paraId="4B10560E">
                  <w:pPr>
                    <w:pStyle w:val="33"/>
                    <w:bidi w:val="0"/>
                    <w:rPr>
                      <w:rFonts w:hint="eastAsia"/>
                      <w:color w:val="auto"/>
                    </w:rPr>
                  </w:pPr>
                  <w:r>
                    <w:rPr>
                      <w:rFonts w:hint="eastAsia"/>
                      <w:color w:val="auto"/>
                      <w:lang w:val="en-US" w:eastAsia="zh-CN"/>
                    </w:rPr>
                    <w:t>排放限值</w:t>
                  </w:r>
                </w:p>
              </w:tc>
            </w:tr>
            <w:tr w14:paraId="3E7B14AD">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21" w:hRule="atLeast"/>
              </w:trPr>
              <w:tc>
                <w:tcPr>
                  <w:tcW w:w="1249" w:type="pct"/>
                  <w:tcBorders>
                    <w:tl2br w:val="nil"/>
                    <w:tr2bl w:val="nil"/>
                  </w:tcBorders>
                  <w:shd w:val="clear" w:color="auto" w:fill="auto"/>
                  <w:vAlign w:val="center"/>
                </w:tcPr>
                <w:p w14:paraId="77C3F764">
                  <w:pPr>
                    <w:pStyle w:val="33"/>
                    <w:bidi w:val="0"/>
                    <w:rPr>
                      <w:rFonts w:hint="eastAsia"/>
                      <w:color w:val="auto"/>
                    </w:rPr>
                  </w:pPr>
                  <w:r>
                    <w:rPr>
                      <w:rFonts w:hint="eastAsia"/>
                      <w:color w:val="auto"/>
                      <w:lang w:val="en-US" w:eastAsia="zh-CN"/>
                    </w:rPr>
                    <w:t>臭气浓度</w:t>
                  </w:r>
                </w:p>
              </w:tc>
              <w:tc>
                <w:tcPr>
                  <w:tcW w:w="1249" w:type="pct"/>
                  <w:tcBorders>
                    <w:tl2br w:val="nil"/>
                    <w:tr2bl w:val="nil"/>
                  </w:tcBorders>
                  <w:shd w:val="clear" w:color="auto" w:fill="auto"/>
                  <w:vAlign w:val="center"/>
                </w:tcPr>
                <w:p w14:paraId="67194DE6">
                  <w:pPr>
                    <w:pStyle w:val="33"/>
                    <w:bidi w:val="0"/>
                    <w:rPr>
                      <w:rFonts w:hint="eastAsia"/>
                      <w:color w:val="auto"/>
                    </w:rPr>
                  </w:pPr>
                  <w:r>
                    <w:rPr>
                      <w:rFonts w:hint="eastAsia"/>
                      <w:color w:val="auto"/>
                      <w:lang w:val="en-US" w:eastAsia="zh-CN"/>
                    </w:rPr>
                    <w:t>有组织</w:t>
                  </w:r>
                </w:p>
              </w:tc>
              <w:tc>
                <w:tcPr>
                  <w:tcW w:w="1249" w:type="pct"/>
                  <w:tcBorders>
                    <w:tl2br w:val="nil"/>
                    <w:tr2bl w:val="nil"/>
                  </w:tcBorders>
                  <w:shd w:val="clear" w:color="auto" w:fill="auto"/>
                  <w:vAlign w:val="center"/>
                </w:tcPr>
                <w:p w14:paraId="1E64B615">
                  <w:pPr>
                    <w:pStyle w:val="33"/>
                    <w:bidi w:val="0"/>
                    <w:rPr>
                      <w:rFonts w:hint="eastAsia"/>
                      <w:color w:val="auto"/>
                    </w:rPr>
                  </w:pPr>
                  <w:r>
                    <w:rPr>
                      <w:rFonts w:hint="eastAsia"/>
                      <w:color w:val="auto"/>
                      <w:lang w:val="en-US" w:eastAsia="zh-CN"/>
                    </w:rPr>
                    <w:t>18 m</w:t>
                  </w:r>
                </w:p>
              </w:tc>
              <w:tc>
                <w:tcPr>
                  <w:tcW w:w="1250" w:type="pct"/>
                  <w:tcBorders>
                    <w:tl2br w:val="nil"/>
                    <w:tr2bl w:val="nil"/>
                  </w:tcBorders>
                  <w:shd w:val="clear" w:color="auto" w:fill="auto"/>
                  <w:vAlign w:val="center"/>
                </w:tcPr>
                <w:p w14:paraId="12A1A5BD">
                  <w:pPr>
                    <w:pStyle w:val="33"/>
                    <w:bidi w:val="0"/>
                    <w:rPr>
                      <w:rFonts w:hint="eastAsia"/>
                      <w:color w:val="auto"/>
                    </w:rPr>
                  </w:pPr>
                  <w:r>
                    <w:rPr>
                      <w:rFonts w:hint="eastAsia"/>
                      <w:color w:val="auto"/>
                      <w:lang w:val="en-US" w:eastAsia="zh-CN"/>
                    </w:rPr>
                    <w:t>2000（无量纲）</w:t>
                  </w:r>
                </w:p>
              </w:tc>
            </w:tr>
            <w:tr w14:paraId="0BD457F1">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0" w:hRule="atLeast"/>
              </w:trPr>
              <w:tc>
                <w:tcPr>
                  <w:tcW w:w="1249" w:type="pct"/>
                  <w:tcBorders>
                    <w:tl2br w:val="nil"/>
                    <w:tr2bl w:val="nil"/>
                  </w:tcBorders>
                  <w:shd w:val="clear" w:color="auto" w:fill="auto"/>
                  <w:vAlign w:val="center"/>
                </w:tcPr>
                <w:p w14:paraId="5B004947">
                  <w:pPr>
                    <w:pStyle w:val="33"/>
                    <w:bidi w:val="0"/>
                    <w:rPr>
                      <w:rFonts w:hint="eastAsia"/>
                      <w:color w:val="auto"/>
                    </w:rPr>
                  </w:pPr>
                  <w:r>
                    <w:rPr>
                      <w:rFonts w:hint="eastAsia"/>
                      <w:color w:val="auto"/>
                      <w:lang w:val="en-US" w:eastAsia="zh-CN"/>
                    </w:rPr>
                    <w:t>臭气浓度</w:t>
                  </w:r>
                </w:p>
              </w:tc>
              <w:tc>
                <w:tcPr>
                  <w:tcW w:w="1249" w:type="pct"/>
                  <w:tcBorders>
                    <w:tl2br w:val="nil"/>
                    <w:tr2bl w:val="nil"/>
                  </w:tcBorders>
                  <w:shd w:val="clear" w:color="auto" w:fill="auto"/>
                  <w:vAlign w:val="center"/>
                </w:tcPr>
                <w:p w14:paraId="0C622F8C">
                  <w:pPr>
                    <w:pStyle w:val="33"/>
                    <w:bidi w:val="0"/>
                    <w:rPr>
                      <w:rFonts w:hint="eastAsia"/>
                      <w:color w:val="auto"/>
                    </w:rPr>
                  </w:pPr>
                  <w:r>
                    <w:rPr>
                      <w:rFonts w:hint="eastAsia"/>
                      <w:color w:val="auto"/>
                      <w:lang w:val="en-US" w:eastAsia="zh-CN"/>
                    </w:rPr>
                    <w:t>无组织</w:t>
                  </w:r>
                </w:p>
              </w:tc>
              <w:tc>
                <w:tcPr>
                  <w:tcW w:w="1249" w:type="pct"/>
                  <w:tcBorders>
                    <w:tl2br w:val="nil"/>
                    <w:tr2bl w:val="nil"/>
                  </w:tcBorders>
                  <w:shd w:val="clear" w:color="auto" w:fill="auto"/>
                  <w:vAlign w:val="center"/>
                </w:tcPr>
                <w:p w14:paraId="7F7C1F2B">
                  <w:pPr>
                    <w:pStyle w:val="33"/>
                    <w:bidi w:val="0"/>
                    <w:rPr>
                      <w:rFonts w:hint="eastAsia"/>
                      <w:color w:val="auto"/>
                    </w:rPr>
                  </w:pPr>
                  <w:r>
                    <w:rPr>
                      <w:rFonts w:hint="eastAsia"/>
                      <w:color w:val="auto"/>
                      <w:lang w:val="en-US" w:eastAsia="zh-CN"/>
                    </w:rPr>
                    <w:t>厂界</w:t>
                  </w:r>
                </w:p>
              </w:tc>
              <w:tc>
                <w:tcPr>
                  <w:tcW w:w="1250" w:type="pct"/>
                  <w:tcBorders>
                    <w:tl2br w:val="nil"/>
                    <w:tr2bl w:val="nil"/>
                  </w:tcBorders>
                  <w:shd w:val="clear" w:color="auto" w:fill="auto"/>
                  <w:vAlign w:val="center"/>
                </w:tcPr>
                <w:p w14:paraId="5EB6FC3B">
                  <w:pPr>
                    <w:pStyle w:val="33"/>
                    <w:bidi w:val="0"/>
                    <w:rPr>
                      <w:rFonts w:hint="eastAsia"/>
                      <w:color w:val="auto"/>
                    </w:rPr>
                  </w:pPr>
                  <w:r>
                    <w:rPr>
                      <w:rFonts w:hint="eastAsia"/>
                      <w:color w:val="auto"/>
                      <w:lang w:val="en-US" w:eastAsia="zh-CN"/>
                    </w:rPr>
                    <w:t>20（无量纲）</w:t>
                  </w:r>
                </w:p>
              </w:tc>
            </w:tr>
          </w:tbl>
          <w:p w14:paraId="625EF942">
            <w:pPr>
              <w:ind w:firstLine="482"/>
              <w:rPr>
                <w:b/>
                <w:bCs/>
                <w:color w:val="auto"/>
              </w:rPr>
            </w:pPr>
            <w:r>
              <w:rPr>
                <w:rFonts w:hint="eastAsia"/>
                <w:b/>
                <w:bCs/>
                <w:color w:val="auto"/>
              </w:rPr>
              <w:t>2、废水排放标准</w:t>
            </w:r>
          </w:p>
          <w:p w14:paraId="708D4D56">
            <w:pPr>
              <w:ind w:firstLine="480"/>
              <w:rPr>
                <w:color w:val="auto"/>
              </w:rPr>
            </w:pPr>
            <w:r>
              <w:rPr>
                <w:rFonts w:hint="eastAsia"/>
                <w:color w:val="auto"/>
              </w:rPr>
              <w:t>本项目运营期废水主要包括生活污水和生产废水，本项目运营期生活污水由三级化粪池处理后排入园区污水管网；生产废水</w:t>
            </w:r>
            <w:r>
              <w:rPr>
                <w:rFonts w:hint="eastAsia"/>
                <w:color w:val="auto"/>
                <w:lang w:eastAsia="zh-CN"/>
              </w:rPr>
              <w:t>经厂区自建污水处理设施“隔油沉淀+一体化A/O工艺”</w:t>
            </w:r>
            <w:r>
              <w:rPr>
                <w:rFonts w:hint="eastAsia"/>
                <w:color w:val="auto"/>
              </w:rPr>
              <w:t>处理后达到《污水综合排放标准》（GB8978-1996）三级标准</w:t>
            </w:r>
            <w:r>
              <w:rPr>
                <w:rFonts w:hint="eastAsia"/>
                <w:color w:val="auto"/>
                <w:lang w:val="en-US" w:eastAsia="zh-CN"/>
              </w:rPr>
              <w:t>以及新兴污水处理厂设计进水水质要求</w:t>
            </w:r>
            <w:r>
              <w:rPr>
                <w:rFonts w:hint="eastAsia"/>
                <w:color w:val="auto"/>
              </w:rPr>
              <w:t>排入园区污水管网，最终排入新兴污水处理厂。</w:t>
            </w:r>
          </w:p>
          <w:p w14:paraId="77DCDFD0">
            <w:pPr>
              <w:pStyle w:val="35"/>
              <w:rPr>
                <w:rFonts w:hint="default"/>
                <w:color w:val="auto"/>
              </w:rPr>
            </w:pPr>
            <w:r>
              <w:rPr>
                <w:color w:val="auto"/>
              </w:rPr>
              <w:t>表3-</w:t>
            </w:r>
            <w:r>
              <w:rPr>
                <w:rFonts w:hint="eastAsia"/>
                <w:color w:val="auto"/>
                <w:lang w:val="en-US" w:eastAsia="zh-CN"/>
              </w:rPr>
              <w:t>8</w:t>
            </w:r>
            <w:r>
              <w:rPr>
                <w:color w:val="auto"/>
              </w:rPr>
              <w:t xml:space="preserve"> 项目废水排放标准</w:t>
            </w:r>
          </w:p>
          <w:tbl>
            <w:tblPr>
              <w:tblStyle w:val="17"/>
              <w:tblW w:w="799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97"/>
              <w:gridCol w:w="2002"/>
              <w:gridCol w:w="1090"/>
              <w:gridCol w:w="2908"/>
            </w:tblGrid>
            <w:tr w14:paraId="79C03F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7" w:type="dxa"/>
                  <w:tcBorders>
                    <w:tl2br w:val="nil"/>
                    <w:tr2bl w:val="nil"/>
                  </w:tcBorders>
                  <w:vAlign w:val="center"/>
                </w:tcPr>
                <w:p w14:paraId="6F832D43">
                  <w:pPr>
                    <w:pStyle w:val="33"/>
                    <w:rPr>
                      <w:color w:val="auto"/>
                    </w:rPr>
                  </w:pPr>
                  <w:r>
                    <w:rPr>
                      <w:rFonts w:hint="eastAsia"/>
                      <w:color w:val="auto"/>
                    </w:rPr>
                    <w:t>污染物项目</w:t>
                  </w:r>
                </w:p>
              </w:tc>
              <w:tc>
                <w:tcPr>
                  <w:tcW w:w="2002" w:type="dxa"/>
                  <w:tcBorders>
                    <w:tl2br w:val="nil"/>
                    <w:tr2bl w:val="nil"/>
                  </w:tcBorders>
                  <w:vAlign w:val="center"/>
                </w:tcPr>
                <w:p w14:paraId="166C698A">
                  <w:pPr>
                    <w:pStyle w:val="33"/>
                    <w:rPr>
                      <w:color w:val="auto"/>
                    </w:rPr>
                  </w:pPr>
                  <w:r>
                    <w:rPr>
                      <w:rFonts w:hint="eastAsia"/>
                      <w:color w:val="auto"/>
                    </w:rPr>
                    <w:t>排放限值（mg/L）</w:t>
                  </w:r>
                </w:p>
              </w:tc>
              <w:tc>
                <w:tcPr>
                  <w:tcW w:w="1090" w:type="dxa"/>
                  <w:tcBorders>
                    <w:tl2br w:val="nil"/>
                    <w:tr2bl w:val="nil"/>
                  </w:tcBorders>
                  <w:vAlign w:val="center"/>
                </w:tcPr>
                <w:p w14:paraId="581992E5">
                  <w:pPr>
                    <w:pStyle w:val="33"/>
                    <w:rPr>
                      <w:color w:val="auto"/>
                    </w:rPr>
                  </w:pPr>
                  <w:r>
                    <w:rPr>
                      <w:rFonts w:hint="eastAsia"/>
                      <w:color w:val="auto"/>
                    </w:rPr>
                    <w:t>污染物排放监控位置</w:t>
                  </w:r>
                </w:p>
              </w:tc>
              <w:tc>
                <w:tcPr>
                  <w:tcW w:w="2908" w:type="dxa"/>
                  <w:tcBorders>
                    <w:tl2br w:val="nil"/>
                    <w:tr2bl w:val="nil"/>
                  </w:tcBorders>
                  <w:vAlign w:val="center"/>
                </w:tcPr>
                <w:p w14:paraId="68254B22">
                  <w:pPr>
                    <w:pStyle w:val="33"/>
                    <w:rPr>
                      <w:color w:val="auto"/>
                    </w:rPr>
                  </w:pPr>
                  <w:r>
                    <w:rPr>
                      <w:rFonts w:hint="eastAsia"/>
                      <w:color w:val="auto"/>
                    </w:rPr>
                    <w:t>排放标准</w:t>
                  </w:r>
                </w:p>
              </w:tc>
            </w:tr>
            <w:tr w14:paraId="549D23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7" w:type="dxa"/>
                  <w:tcBorders>
                    <w:tl2br w:val="nil"/>
                    <w:tr2bl w:val="nil"/>
                  </w:tcBorders>
                  <w:vAlign w:val="center"/>
                </w:tcPr>
                <w:p w14:paraId="5F4E1DE6">
                  <w:pPr>
                    <w:pStyle w:val="33"/>
                    <w:rPr>
                      <w:color w:val="auto"/>
                    </w:rPr>
                  </w:pPr>
                  <w:r>
                    <w:rPr>
                      <w:rFonts w:hint="eastAsia"/>
                      <w:color w:val="auto"/>
                    </w:rPr>
                    <w:t>pH</w:t>
                  </w:r>
                  <w:r>
                    <w:rPr>
                      <w:rFonts w:hint="eastAsia"/>
                      <w:color w:val="auto"/>
                      <w:lang w:val="en-US" w:eastAsia="zh-CN"/>
                    </w:rPr>
                    <w:t>值</w:t>
                  </w:r>
                </w:p>
              </w:tc>
              <w:tc>
                <w:tcPr>
                  <w:tcW w:w="2002" w:type="dxa"/>
                  <w:tcBorders>
                    <w:tl2br w:val="nil"/>
                    <w:tr2bl w:val="nil"/>
                  </w:tcBorders>
                  <w:vAlign w:val="center"/>
                </w:tcPr>
                <w:p w14:paraId="52DDF092">
                  <w:pPr>
                    <w:pStyle w:val="33"/>
                    <w:rPr>
                      <w:color w:val="auto"/>
                    </w:rPr>
                  </w:pPr>
                  <w:r>
                    <w:rPr>
                      <w:rFonts w:hint="eastAsia"/>
                      <w:color w:val="auto"/>
                    </w:rPr>
                    <w:t>6~9</w:t>
                  </w:r>
                </w:p>
              </w:tc>
              <w:tc>
                <w:tcPr>
                  <w:tcW w:w="1090" w:type="dxa"/>
                  <w:vMerge w:val="restart"/>
                  <w:tcBorders>
                    <w:tl2br w:val="nil"/>
                    <w:tr2bl w:val="nil"/>
                  </w:tcBorders>
                  <w:vAlign w:val="center"/>
                </w:tcPr>
                <w:p w14:paraId="27630016">
                  <w:pPr>
                    <w:pStyle w:val="33"/>
                    <w:rPr>
                      <w:color w:val="auto"/>
                    </w:rPr>
                  </w:pPr>
                  <w:r>
                    <w:rPr>
                      <w:rFonts w:hint="eastAsia"/>
                      <w:color w:val="auto"/>
                    </w:rPr>
                    <w:t>厂区废水排放口</w:t>
                  </w:r>
                </w:p>
              </w:tc>
              <w:tc>
                <w:tcPr>
                  <w:tcW w:w="2908" w:type="dxa"/>
                  <w:vMerge w:val="restart"/>
                  <w:tcBorders>
                    <w:tl2br w:val="nil"/>
                    <w:tr2bl w:val="nil"/>
                  </w:tcBorders>
                  <w:vAlign w:val="center"/>
                </w:tcPr>
                <w:p w14:paraId="1C0706D0">
                  <w:pPr>
                    <w:pStyle w:val="33"/>
                    <w:rPr>
                      <w:color w:val="auto"/>
                    </w:rPr>
                  </w:pPr>
                  <w:r>
                    <w:rPr>
                      <w:rFonts w:hint="eastAsia"/>
                      <w:color w:val="auto"/>
                    </w:rPr>
                    <w:t>《污水综合排放标准》（GB8978-1996）三级标准</w:t>
                  </w:r>
                </w:p>
              </w:tc>
            </w:tr>
            <w:tr w14:paraId="0F5D0A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7" w:type="dxa"/>
                  <w:tcBorders>
                    <w:tl2br w:val="nil"/>
                    <w:tr2bl w:val="nil"/>
                  </w:tcBorders>
                  <w:vAlign w:val="center"/>
                </w:tcPr>
                <w:p w14:paraId="2B6B4361">
                  <w:pPr>
                    <w:pStyle w:val="33"/>
                    <w:rPr>
                      <w:color w:val="auto"/>
                    </w:rPr>
                  </w:pPr>
                  <w:r>
                    <w:rPr>
                      <w:rFonts w:hint="eastAsia"/>
                      <w:color w:val="auto"/>
                    </w:rPr>
                    <w:t>SS</w:t>
                  </w:r>
                </w:p>
              </w:tc>
              <w:tc>
                <w:tcPr>
                  <w:tcW w:w="2002" w:type="dxa"/>
                  <w:tcBorders>
                    <w:tl2br w:val="nil"/>
                    <w:tr2bl w:val="nil"/>
                  </w:tcBorders>
                  <w:vAlign w:val="center"/>
                </w:tcPr>
                <w:p w14:paraId="4D04ACD1">
                  <w:pPr>
                    <w:pStyle w:val="33"/>
                    <w:rPr>
                      <w:color w:val="auto"/>
                    </w:rPr>
                  </w:pPr>
                  <w:r>
                    <w:rPr>
                      <w:rFonts w:hint="eastAsia"/>
                      <w:color w:val="auto"/>
                    </w:rPr>
                    <w:t>400</w:t>
                  </w:r>
                </w:p>
              </w:tc>
              <w:tc>
                <w:tcPr>
                  <w:tcW w:w="1090" w:type="dxa"/>
                  <w:vMerge w:val="continue"/>
                  <w:tcBorders>
                    <w:tl2br w:val="nil"/>
                    <w:tr2bl w:val="nil"/>
                  </w:tcBorders>
                  <w:vAlign w:val="center"/>
                </w:tcPr>
                <w:p w14:paraId="476699D4">
                  <w:pPr>
                    <w:pStyle w:val="33"/>
                    <w:rPr>
                      <w:color w:val="auto"/>
                    </w:rPr>
                  </w:pPr>
                </w:p>
              </w:tc>
              <w:tc>
                <w:tcPr>
                  <w:tcW w:w="2908" w:type="dxa"/>
                  <w:vMerge w:val="continue"/>
                  <w:tcBorders>
                    <w:tl2br w:val="nil"/>
                    <w:tr2bl w:val="nil"/>
                  </w:tcBorders>
                  <w:vAlign w:val="center"/>
                </w:tcPr>
                <w:p w14:paraId="462833EE">
                  <w:pPr>
                    <w:pStyle w:val="33"/>
                    <w:rPr>
                      <w:color w:val="auto"/>
                    </w:rPr>
                  </w:pPr>
                </w:p>
              </w:tc>
            </w:tr>
            <w:tr w14:paraId="0E0432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7" w:type="dxa"/>
                  <w:tcBorders>
                    <w:tl2br w:val="nil"/>
                    <w:tr2bl w:val="nil"/>
                  </w:tcBorders>
                  <w:vAlign w:val="center"/>
                </w:tcPr>
                <w:p w14:paraId="7F595CB6">
                  <w:pPr>
                    <w:pStyle w:val="33"/>
                    <w:rPr>
                      <w:color w:val="auto"/>
                    </w:rPr>
                  </w:pPr>
                  <w:r>
                    <w:rPr>
                      <w:rFonts w:hint="eastAsia"/>
                      <w:color w:val="auto"/>
                    </w:rPr>
                    <w:t>CODcr</w:t>
                  </w:r>
                </w:p>
              </w:tc>
              <w:tc>
                <w:tcPr>
                  <w:tcW w:w="2002" w:type="dxa"/>
                  <w:tcBorders>
                    <w:tl2br w:val="nil"/>
                    <w:tr2bl w:val="nil"/>
                  </w:tcBorders>
                  <w:vAlign w:val="center"/>
                </w:tcPr>
                <w:p w14:paraId="2246A715">
                  <w:pPr>
                    <w:pStyle w:val="33"/>
                    <w:rPr>
                      <w:color w:val="auto"/>
                    </w:rPr>
                  </w:pPr>
                  <w:r>
                    <w:rPr>
                      <w:rFonts w:hint="eastAsia"/>
                      <w:color w:val="auto"/>
                    </w:rPr>
                    <w:t>500</w:t>
                  </w:r>
                </w:p>
              </w:tc>
              <w:tc>
                <w:tcPr>
                  <w:tcW w:w="1090" w:type="dxa"/>
                  <w:vMerge w:val="continue"/>
                  <w:tcBorders>
                    <w:tl2br w:val="nil"/>
                    <w:tr2bl w:val="nil"/>
                  </w:tcBorders>
                  <w:vAlign w:val="center"/>
                </w:tcPr>
                <w:p w14:paraId="0B8498F0">
                  <w:pPr>
                    <w:pStyle w:val="33"/>
                    <w:rPr>
                      <w:color w:val="auto"/>
                    </w:rPr>
                  </w:pPr>
                </w:p>
              </w:tc>
              <w:tc>
                <w:tcPr>
                  <w:tcW w:w="2908" w:type="dxa"/>
                  <w:vMerge w:val="continue"/>
                  <w:tcBorders>
                    <w:tl2br w:val="nil"/>
                    <w:tr2bl w:val="nil"/>
                  </w:tcBorders>
                  <w:vAlign w:val="center"/>
                </w:tcPr>
                <w:p w14:paraId="78EBED86">
                  <w:pPr>
                    <w:pStyle w:val="33"/>
                    <w:rPr>
                      <w:color w:val="auto"/>
                    </w:rPr>
                  </w:pPr>
                </w:p>
              </w:tc>
            </w:tr>
            <w:tr w14:paraId="1AB9F8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7" w:type="dxa"/>
                  <w:tcBorders>
                    <w:tl2br w:val="nil"/>
                    <w:tr2bl w:val="nil"/>
                  </w:tcBorders>
                  <w:vAlign w:val="center"/>
                </w:tcPr>
                <w:p w14:paraId="52190092">
                  <w:pPr>
                    <w:pStyle w:val="33"/>
                    <w:rPr>
                      <w:color w:val="auto"/>
                    </w:rPr>
                  </w:pPr>
                  <w:r>
                    <w:rPr>
                      <w:rFonts w:hint="eastAsia"/>
                      <w:color w:val="auto"/>
                    </w:rPr>
                    <w:t>BOD</w:t>
                  </w:r>
                  <w:r>
                    <w:rPr>
                      <w:rFonts w:hint="eastAsia"/>
                      <w:color w:val="auto"/>
                      <w:vertAlign w:val="subscript"/>
                    </w:rPr>
                    <w:t>5</w:t>
                  </w:r>
                </w:p>
              </w:tc>
              <w:tc>
                <w:tcPr>
                  <w:tcW w:w="2002" w:type="dxa"/>
                  <w:tcBorders>
                    <w:tl2br w:val="nil"/>
                    <w:tr2bl w:val="nil"/>
                  </w:tcBorders>
                  <w:vAlign w:val="center"/>
                </w:tcPr>
                <w:p w14:paraId="2437C632">
                  <w:pPr>
                    <w:pStyle w:val="33"/>
                    <w:rPr>
                      <w:color w:val="auto"/>
                    </w:rPr>
                  </w:pPr>
                  <w:r>
                    <w:rPr>
                      <w:rFonts w:hint="eastAsia"/>
                      <w:color w:val="auto"/>
                    </w:rPr>
                    <w:t>300</w:t>
                  </w:r>
                </w:p>
              </w:tc>
              <w:tc>
                <w:tcPr>
                  <w:tcW w:w="1090" w:type="dxa"/>
                  <w:vMerge w:val="continue"/>
                  <w:tcBorders>
                    <w:tl2br w:val="nil"/>
                    <w:tr2bl w:val="nil"/>
                  </w:tcBorders>
                  <w:vAlign w:val="center"/>
                </w:tcPr>
                <w:p w14:paraId="0ABB27E3">
                  <w:pPr>
                    <w:pStyle w:val="33"/>
                    <w:rPr>
                      <w:color w:val="auto"/>
                    </w:rPr>
                  </w:pPr>
                </w:p>
              </w:tc>
              <w:tc>
                <w:tcPr>
                  <w:tcW w:w="2908" w:type="dxa"/>
                  <w:vMerge w:val="continue"/>
                  <w:tcBorders>
                    <w:tl2br w:val="nil"/>
                    <w:tr2bl w:val="nil"/>
                  </w:tcBorders>
                  <w:vAlign w:val="center"/>
                </w:tcPr>
                <w:p w14:paraId="48F5DA06">
                  <w:pPr>
                    <w:pStyle w:val="33"/>
                    <w:rPr>
                      <w:color w:val="auto"/>
                    </w:rPr>
                  </w:pPr>
                </w:p>
              </w:tc>
            </w:tr>
            <w:tr w14:paraId="6DF294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7" w:type="dxa"/>
                  <w:tcBorders>
                    <w:tl2br w:val="nil"/>
                    <w:tr2bl w:val="nil"/>
                  </w:tcBorders>
                  <w:shd w:val="clear" w:color="auto" w:fill="auto"/>
                  <w:vAlign w:val="center"/>
                </w:tcPr>
                <w:p w14:paraId="6D9968C2">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rPr>
                    <w:t>动植物油</w:t>
                  </w:r>
                </w:p>
              </w:tc>
              <w:tc>
                <w:tcPr>
                  <w:tcW w:w="2002" w:type="dxa"/>
                  <w:tcBorders>
                    <w:tl2br w:val="nil"/>
                    <w:tr2bl w:val="nil"/>
                  </w:tcBorders>
                  <w:shd w:val="clear" w:color="auto" w:fill="auto"/>
                  <w:vAlign w:val="center"/>
                </w:tcPr>
                <w:p w14:paraId="63BFF8D1">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rPr>
                    <w:t>100</w:t>
                  </w:r>
                </w:p>
              </w:tc>
              <w:tc>
                <w:tcPr>
                  <w:tcW w:w="1090" w:type="dxa"/>
                  <w:vMerge w:val="continue"/>
                  <w:tcBorders>
                    <w:tl2br w:val="nil"/>
                    <w:tr2bl w:val="nil"/>
                  </w:tcBorders>
                  <w:vAlign w:val="center"/>
                </w:tcPr>
                <w:p w14:paraId="2A67E810">
                  <w:pPr>
                    <w:pStyle w:val="33"/>
                    <w:rPr>
                      <w:color w:val="auto"/>
                    </w:rPr>
                  </w:pPr>
                </w:p>
              </w:tc>
              <w:tc>
                <w:tcPr>
                  <w:tcW w:w="2908" w:type="dxa"/>
                  <w:vMerge w:val="continue"/>
                  <w:tcBorders>
                    <w:tl2br w:val="nil"/>
                    <w:tr2bl w:val="nil"/>
                  </w:tcBorders>
                  <w:vAlign w:val="center"/>
                </w:tcPr>
                <w:p w14:paraId="03FD006F">
                  <w:pPr>
                    <w:pStyle w:val="33"/>
                    <w:rPr>
                      <w:color w:val="auto"/>
                    </w:rPr>
                  </w:pPr>
                </w:p>
              </w:tc>
            </w:tr>
            <w:tr w14:paraId="3EBD0D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7" w:type="dxa"/>
                  <w:tcBorders>
                    <w:tl2br w:val="nil"/>
                    <w:tr2bl w:val="nil"/>
                  </w:tcBorders>
                  <w:vAlign w:val="center"/>
                </w:tcPr>
                <w:p w14:paraId="5C6C074A">
                  <w:pPr>
                    <w:pStyle w:val="33"/>
                    <w:rPr>
                      <w:rFonts w:hint="eastAsia" w:eastAsia="宋体"/>
                      <w:color w:val="auto"/>
                      <w:lang w:val="en-US" w:eastAsia="zh-CN"/>
                    </w:rPr>
                  </w:pPr>
                  <w:r>
                    <w:rPr>
                      <w:rFonts w:hint="eastAsia"/>
                      <w:color w:val="auto"/>
                      <w:lang w:val="en-US" w:eastAsia="zh-CN"/>
                    </w:rPr>
                    <w:t>氨氮</w:t>
                  </w:r>
                </w:p>
              </w:tc>
              <w:tc>
                <w:tcPr>
                  <w:tcW w:w="2002" w:type="dxa"/>
                  <w:tcBorders>
                    <w:tl2br w:val="nil"/>
                    <w:tr2bl w:val="nil"/>
                  </w:tcBorders>
                  <w:vAlign w:val="center"/>
                </w:tcPr>
                <w:p w14:paraId="63974827">
                  <w:pPr>
                    <w:pStyle w:val="33"/>
                    <w:rPr>
                      <w:rFonts w:hint="default" w:eastAsia="宋体"/>
                      <w:color w:val="auto"/>
                      <w:lang w:val="en-US" w:eastAsia="zh-CN"/>
                    </w:rPr>
                  </w:pPr>
                  <w:r>
                    <w:rPr>
                      <w:rFonts w:hint="eastAsia"/>
                      <w:color w:val="auto"/>
                      <w:lang w:val="en-US" w:eastAsia="zh-CN"/>
                    </w:rPr>
                    <w:t>35</w:t>
                  </w:r>
                </w:p>
              </w:tc>
              <w:tc>
                <w:tcPr>
                  <w:tcW w:w="1090" w:type="dxa"/>
                  <w:vMerge w:val="continue"/>
                  <w:tcBorders>
                    <w:tl2br w:val="nil"/>
                    <w:tr2bl w:val="nil"/>
                  </w:tcBorders>
                  <w:vAlign w:val="center"/>
                </w:tcPr>
                <w:p w14:paraId="57776C37">
                  <w:pPr>
                    <w:pStyle w:val="33"/>
                    <w:rPr>
                      <w:color w:val="auto"/>
                    </w:rPr>
                  </w:pPr>
                </w:p>
              </w:tc>
              <w:tc>
                <w:tcPr>
                  <w:tcW w:w="2908" w:type="dxa"/>
                  <w:vMerge w:val="restart"/>
                  <w:tcBorders>
                    <w:tl2br w:val="nil"/>
                    <w:tr2bl w:val="nil"/>
                  </w:tcBorders>
                  <w:vAlign w:val="center"/>
                </w:tcPr>
                <w:p w14:paraId="192C1310">
                  <w:pPr>
                    <w:pStyle w:val="33"/>
                    <w:rPr>
                      <w:rFonts w:hint="default" w:eastAsia="宋体"/>
                      <w:color w:val="auto"/>
                      <w:lang w:val="en-US" w:eastAsia="zh-CN"/>
                    </w:rPr>
                  </w:pPr>
                  <w:r>
                    <w:rPr>
                      <w:rFonts w:hint="eastAsia"/>
                      <w:color w:val="auto"/>
                      <w:lang w:val="en-US" w:eastAsia="zh-CN"/>
                    </w:rPr>
                    <w:t>新兴污水处理厂设计进水水质要求</w:t>
                  </w:r>
                </w:p>
              </w:tc>
            </w:tr>
            <w:tr w14:paraId="1855DF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7" w:type="dxa"/>
                  <w:tcBorders>
                    <w:tl2br w:val="nil"/>
                    <w:tr2bl w:val="nil"/>
                  </w:tcBorders>
                  <w:vAlign w:val="center"/>
                </w:tcPr>
                <w:p w14:paraId="62ED2B7D">
                  <w:pPr>
                    <w:pStyle w:val="33"/>
                    <w:rPr>
                      <w:rFonts w:hint="eastAsia" w:eastAsia="宋体"/>
                      <w:color w:val="auto"/>
                      <w:lang w:val="en-US" w:eastAsia="zh-CN"/>
                    </w:rPr>
                  </w:pPr>
                  <w:r>
                    <w:rPr>
                      <w:rFonts w:hint="eastAsia"/>
                      <w:color w:val="auto"/>
                      <w:lang w:val="en-US" w:eastAsia="zh-CN"/>
                    </w:rPr>
                    <w:t>总氮</w:t>
                  </w:r>
                </w:p>
              </w:tc>
              <w:tc>
                <w:tcPr>
                  <w:tcW w:w="2002" w:type="dxa"/>
                  <w:tcBorders>
                    <w:tl2br w:val="nil"/>
                    <w:tr2bl w:val="nil"/>
                  </w:tcBorders>
                  <w:vAlign w:val="center"/>
                </w:tcPr>
                <w:p w14:paraId="787A297B">
                  <w:pPr>
                    <w:pStyle w:val="33"/>
                    <w:rPr>
                      <w:rFonts w:hint="default" w:eastAsia="宋体"/>
                      <w:color w:val="auto"/>
                      <w:lang w:val="en-US" w:eastAsia="zh-CN"/>
                    </w:rPr>
                  </w:pPr>
                  <w:r>
                    <w:rPr>
                      <w:rFonts w:hint="eastAsia"/>
                      <w:color w:val="auto"/>
                      <w:lang w:val="en-US" w:eastAsia="zh-CN"/>
                    </w:rPr>
                    <w:t>40</w:t>
                  </w:r>
                </w:p>
              </w:tc>
              <w:tc>
                <w:tcPr>
                  <w:tcW w:w="1090" w:type="dxa"/>
                  <w:vMerge w:val="continue"/>
                  <w:tcBorders>
                    <w:tl2br w:val="nil"/>
                    <w:tr2bl w:val="nil"/>
                  </w:tcBorders>
                  <w:vAlign w:val="center"/>
                </w:tcPr>
                <w:p w14:paraId="4A403485">
                  <w:pPr>
                    <w:pStyle w:val="33"/>
                    <w:rPr>
                      <w:color w:val="auto"/>
                    </w:rPr>
                  </w:pPr>
                </w:p>
              </w:tc>
              <w:tc>
                <w:tcPr>
                  <w:tcW w:w="2908" w:type="dxa"/>
                  <w:vMerge w:val="continue"/>
                  <w:tcBorders>
                    <w:tl2br w:val="nil"/>
                    <w:tr2bl w:val="nil"/>
                  </w:tcBorders>
                  <w:vAlign w:val="center"/>
                </w:tcPr>
                <w:p w14:paraId="12C98BFE">
                  <w:pPr>
                    <w:pStyle w:val="33"/>
                    <w:rPr>
                      <w:color w:val="auto"/>
                    </w:rPr>
                  </w:pPr>
                </w:p>
              </w:tc>
            </w:tr>
            <w:tr w14:paraId="3F1019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7" w:type="dxa"/>
                  <w:tcBorders>
                    <w:tl2br w:val="nil"/>
                    <w:tr2bl w:val="nil"/>
                  </w:tcBorders>
                  <w:vAlign w:val="center"/>
                </w:tcPr>
                <w:p w14:paraId="6B83701B">
                  <w:pPr>
                    <w:pStyle w:val="33"/>
                    <w:rPr>
                      <w:rFonts w:hint="eastAsia" w:eastAsia="宋体"/>
                      <w:color w:val="auto"/>
                      <w:lang w:val="en-US" w:eastAsia="zh-CN"/>
                    </w:rPr>
                  </w:pPr>
                  <w:r>
                    <w:rPr>
                      <w:rFonts w:hint="eastAsia"/>
                      <w:color w:val="auto"/>
                      <w:lang w:val="en-US" w:eastAsia="zh-CN"/>
                    </w:rPr>
                    <w:t>总磷</w:t>
                  </w:r>
                </w:p>
              </w:tc>
              <w:tc>
                <w:tcPr>
                  <w:tcW w:w="2002" w:type="dxa"/>
                  <w:tcBorders>
                    <w:tl2br w:val="nil"/>
                    <w:tr2bl w:val="nil"/>
                  </w:tcBorders>
                  <w:vAlign w:val="center"/>
                </w:tcPr>
                <w:p w14:paraId="2C70AA2E">
                  <w:pPr>
                    <w:pStyle w:val="33"/>
                    <w:rPr>
                      <w:rFonts w:hint="eastAsia" w:eastAsia="宋体"/>
                      <w:color w:val="auto"/>
                      <w:lang w:val="en-US" w:eastAsia="zh-CN"/>
                    </w:rPr>
                  </w:pPr>
                  <w:r>
                    <w:rPr>
                      <w:rFonts w:hint="eastAsia"/>
                      <w:color w:val="auto"/>
                      <w:lang w:val="en-US" w:eastAsia="zh-CN"/>
                    </w:rPr>
                    <w:t>8</w:t>
                  </w:r>
                </w:p>
              </w:tc>
              <w:tc>
                <w:tcPr>
                  <w:tcW w:w="1090" w:type="dxa"/>
                  <w:vMerge w:val="continue"/>
                  <w:tcBorders>
                    <w:tl2br w:val="nil"/>
                    <w:tr2bl w:val="nil"/>
                  </w:tcBorders>
                  <w:vAlign w:val="center"/>
                </w:tcPr>
                <w:p w14:paraId="793D6F9D">
                  <w:pPr>
                    <w:pStyle w:val="33"/>
                    <w:rPr>
                      <w:color w:val="auto"/>
                    </w:rPr>
                  </w:pPr>
                </w:p>
              </w:tc>
              <w:tc>
                <w:tcPr>
                  <w:tcW w:w="2908" w:type="dxa"/>
                  <w:tcBorders>
                    <w:tl2br w:val="nil"/>
                    <w:tr2bl w:val="nil"/>
                  </w:tcBorders>
                  <w:vAlign w:val="center"/>
                </w:tcPr>
                <w:p w14:paraId="44EFD01F">
                  <w:pPr>
                    <w:pStyle w:val="33"/>
                    <w:rPr>
                      <w:color w:val="auto"/>
                    </w:rPr>
                  </w:pPr>
                  <w:r>
                    <w:rPr>
                      <w:color w:val="auto"/>
                    </w:rPr>
                    <w:t>《污水排入城镇下水道水质标准》（GB/T 31962—2015）B级标准</w:t>
                  </w:r>
                </w:p>
              </w:tc>
            </w:tr>
          </w:tbl>
          <w:p w14:paraId="67A71887">
            <w:pPr>
              <w:ind w:firstLine="482"/>
              <w:rPr>
                <w:color w:val="auto"/>
              </w:rPr>
            </w:pPr>
            <w:r>
              <w:rPr>
                <w:rFonts w:hint="eastAsia"/>
                <w:b/>
                <w:bCs/>
                <w:color w:val="auto"/>
              </w:rPr>
              <w:t>3、噪声排放标准</w:t>
            </w:r>
          </w:p>
          <w:p w14:paraId="1064DB6C">
            <w:pPr>
              <w:ind w:firstLine="480"/>
              <w:rPr>
                <w:b/>
                <w:bCs/>
                <w:color w:val="auto"/>
              </w:rPr>
            </w:pPr>
            <w:r>
              <w:rPr>
                <w:rFonts w:hint="eastAsia"/>
                <w:color w:val="auto"/>
              </w:rPr>
              <w:t>本项目位于柳州市柳江区新兴工业园利业路30号1-1，根据柳州市人民政府关于印发《柳州市城市区域声环境功能区划分调整方案》的通知（柳政规〔2023〕10号），项目所在区域属于《声环境质量标准》（GB3096-2008)3类声功能区，运营期各厂界噪声执行《工业企业厂界环境噪声排放标准》（GB12348-2008）中3类标准。</w:t>
            </w:r>
          </w:p>
          <w:p w14:paraId="084272B0">
            <w:pPr>
              <w:pStyle w:val="35"/>
              <w:rPr>
                <w:rFonts w:hint="default"/>
                <w:color w:val="auto"/>
              </w:rPr>
            </w:pPr>
            <w:r>
              <w:rPr>
                <w:color w:val="auto"/>
              </w:rPr>
              <w:t>表3-</w:t>
            </w:r>
            <w:r>
              <w:rPr>
                <w:rFonts w:hint="eastAsia"/>
                <w:color w:val="auto"/>
                <w:lang w:val="en-US" w:eastAsia="zh-CN"/>
              </w:rPr>
              <w:t>9</w:t>
            </w:r>
            <w:r>
              <w:rPr>
                <w:color w:val="auto"/>
              </w:rPr>
              <w:t xml:space="preserve"> 工业企业厂界环境噪声排放标准限值   单位：dB（A）</w:t>
            </w:r>
          </w:p>
          <w:tbl>
            <w:tblPr>
              <w:tblStyle w:val="17"/>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758"/>
              <w:gridCol w:w="2758"/>
              <w:gridCol w:w="2759"/>
            </w:tblGrid>
            <w:tr w14:paraId="12440D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Borders>
                    <w:tl2br w:val="nil"/>
                    <w:tr2bl w:val="nil"/>
                  </w:tcBorders>
                </w:tcPr>
                <w:p w14:paraId="7836831B">
                  <w:pPr>
                    <w:pStyle w:val="33"/>
                    <w:rPr>
                      <w:color w:val="auto"/>
                    </w:rPr>
                  </w:pPr>
                  <w:r>
                    <w:rPr>
                      <w:rFonts w:hint="eastAsia"/>
                      <w:color w:val="auto"/>
                    </w:rPr>
                    <w:t>类别</w:t>
                  </w:r>
                </w:p>
              </w:tc>
              <w:tc>
                <w:tcPr>
                  <w:tcW w:w="1666" w:type="pct"/>
                  <w:tcBorders>
                    <w:tl2br w:val="nil"/>
                    <w:tr2bl w:val="nil"/>
                  </w:tcBorders>
                </w:tcPr>
                <w:p w14:paraId="5E509359">
                  <w:pPr>
                    <w:pStyle w:val="33"/>
                    <w:rPr>
                      <w:color w:val="auto"/>
                    </w:rPr>
                  </w:pPr>
                  <w:r>
                    <w:rPr>
                      <w:rFonts w:hint="eastAsia"/>
                      <w:color w:val="auto"/>
                    </w:rPr>
                    <w:t>昼间</w:t>
                  </w:r>
                </w:p>
              </w:tc>
              <w:tc>
                <w:tcPr>
                  <w:tcW w:w="1666" w:type="pct"/>
                  <w:tcBorders>
                    <w:tl2br w:val="nil"/>
                    <w:tr2bl w:val="nil"/>
                  </w:tcBorders>
                </w:tcPr>
                <w:p w14:paraId="5431B6F1">
                  <w:pPr>
                    <w:pStyle w:val="33"/>
                    <w:rPr>
                      <w:color w:val="auto"/>
                    </w:rPr>
                  </w:pPr>
                  <w:r>
                    <w:rPr>
                      <w:rFonts w:hint="eastAsia"/>
                      <w:color w:val="auto"/>
                    </w:rPr>
                    <w:t>夜间</w:t>
                  </w:r>
                </w:p>
              </w:tc>
            </w:tr>
            <w:tr w14:paraId="0F9009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Borders>
                    <w:tl2br w:val="nil"/>
                    <w:tr2bl w:val="nil"/>
                  </w:tcBorders>
                </w:tcPr>
                <w:p w14:paraId="57D31C10">
                  <w:pPr>
                    <w:pStyle w:val="33"/>
                    <w:rPr>
                      <w:color w:val="auto"/>
                    </w:rPr>
                  </w:pPr>
                  <w:r>
                    <w:rPr>
                      <w:rFonts w:hint="eastAsia"/>
                      <w:color w:val="auto"/>
                    </w:rPr>
                    <w:t>3类</w:t>
                  </w:r>
                </w:p>
              </w:tc>
              <w:tc>
                <w:tcPr>
                  <w:tcW w:w="1666" w:type="pct"/>
                  <w:tcBorders>
                    <w:tl2br w:val="nil"/>
                    <w:tr2bl w:val="nil"/>
                  </w:tcBorders>
                </w:tcPr>
                <w:p w14:paraId="58E8656E">
                  <w:pPr>
                    <w:pStyle w:val="33"/>
                    <w:rPr>
                      <w:color w:val="auto"/>
                    </w:rPr>
                  </w:pPr>
                  <w:r>
                    <w:rPr>
                      <w:rFonts w:hint="eastAsia"/>
                      <w:color w:val="auto"/>
                    </w:rPr>
                    <w:t>65</w:t>
                  </w:r>
                </w:p>
              </w:tc>
              <w:tc>
                <w:tcPr>
                  <w:tcW w:w="1666" w:type="pct"/>
                  <w:tcBorders>
                    <w:tl2br w:val="nil"/>
                    <w:tr2bl w:val="nil"/>
                  </w:tcBorders>
                </w:tcPr>
                <w:p w14:paraId="66882212">
                  <w:pPr>
                    <w:pStyle w:val="33"/>
                    <w:rPr>
                      <w:color w:val="auto"/>
                    </w:rPr>
                  </w:pPr>
                  <w:r>
                    <w:rPr>
                      <w:rFonts w:hint="eastAsia"/>
                      <w:color w:val="auto"/>
                    </w:rPr>
                    <w:t>55</w:t>
                  </w:r>
                </w:p>
              </w:tc>
            </w:tr>
          </w:tbl>
          <w:p w14:paraId="23B8CD09">
            <w:pPr>
              <w:ind w:firstLine="482"/>
              <w:rPr>
                <w:b/>
                <w:bCs/>
                <w:color w:val="auto"/>
              </w:rPr>
            </w:pPr>
            <w:r>
              <w:rPr>
                <w:rFonts w:hint="eastAsia"/>
                <w:b/>
                <w:bCs/>
                <w:color w:val="auto"/>
              </w:rPr>
              <w:t>4、固体废物排放标准</w:t>
            </w:r>
          </w:p>
          <w:p w14:paraId="039E8F6A">
            <w:pPr>
              <w:ind w:firstLine="480"/>
              <w:rPr>
                <w:color w:val="auto"/>
              </w:rPr>
            </w:pPr>
            <w:r>
              <w:rPr>
                <w:color w:val="auto"/>
              </w:rPr>
              <w:t>项目固体废物的产生、收集、贮存、运输、利用和处置应符合《中华人民共和国生态环境法典》的相关规定。一般工业固体废物实行分类收集、分类贮存，并建立固体废物管理台账。若设置一般工业固体废物贮存场或填埋场，应执行《一般工业固体废物贮存和填埋污染控制标准》（GB 18599—2020）；采用库房、包装桶或包装袋等方式贮存的，应满足防渗漏、防雨淋、防扬尘、防流失等环境保护要求。</w:t>
            </w:r>
          </w:p>
        </w:tc>
      </w:tr>
      <w:tr w14:paraId="1B03A6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842" w:type="dxa"/>
            <w:vAlign w:val="center"/>
          </w:tcPr>
          <w:p w14:paraId="4C05EEBC">
            <w:pPr>
              <w:adjustRightInd w:val="0"/>
              <w:snapToGrid w:val="0"/>
              <w:ind w:firstLine="0" w:firstLineChars="0"/>
              <w:jc w:val="center"/>
              <w:rPr>
                <w:rFonts w:hint="eastAsia" w:ascii="宋体" w:hAnsi="宋体" w:cs="宋体"/>
                <w:color w:val="auto"/>
                <w:kern w:val="0"/>
                <w:szCs w:val="21"/>
              </w:rPr>
            </w:pPr>
            <w:r>
              <w:rPr>
                <w:rFonts w:hint="eastAsia" w:ascii="宋体" w:hAnsi="宋体" w:cs="宋体"/>
                <w:color w:val="auto"/>
                <w:kern w:val="0"/>
                <w:szCs w:val="21"/>
              </w:rPr>
              <w:t>总量控制指标</w:t>
            </w:r>
          </w:p>
        </w:tc>
        <w:tc>
          <w:tcPr>
            <w:tcW w:w="8215" w:type="dxa"/>
          </w:tcPr>
          <w:p w14:paraId="1AA47AA4">
            <w:pPr>
              <w:ind w:firstLine="480"/>
              <w:rPr>
                <w:color w:val="auto"/>
              </w:rPr>
            </w:pPr>
            <w:r>
              <w:rPr>
                <w:rFonts w:hint="eastAsia"/>
                <w:color w:val="auto"/>
              </w:rPr>
              <w:t>根据“十四五”污染减排相关要求，主要污染物总量控制因子包括大气污染物NOx、VOCs和水污染物COD</w:t>
            </w:r>
            <w:r>
              <w:rPr>
                <w:rFonts w:hint="eastAsia"/>
                <w:color w:val="auto"/>
                <w:vertAlign w:val="subscript"/>
              </w:rPr>
              <w:t>Cr</w:t>
            </w:r>
            <w:r>
              <w:rPr>
                <w:rFonts w:hint="eastAsia"/>
                <w:color w:val="auto"/>
              </w:rPr>
              <w:t>、NH</w:t>
            </w:r>
            <w:r>
              <w:rPr>
                <w:rFonts w:hint="eastAsia"/>
                <w:color w:val="auto"/>
                <w:vertAlign w:val="subscript"/>
              </w:rPr>
              <w:t>3</w:t>
            </w:r>
            <w:r>
              <w:rPr>
                <w:rFonts w:hint="eastAsia"/>
                <w:color w:val="auto"/>
              </w:rPr>
              <w:t>-N。结合本项目生产工艺及污染物排放特征，本项目废水属于间接排放，COD</w:t>
            </w:r>
            <w:r>
              <w:rPr>
                <w:rFonts w:hint="eastAsia"/>
                <w:color w:val="auto"/>
                <w:vertAlign w:val="subscript"/>
              </w:rPr>
              <w:t>Cr</w:t>
            </w:r>
            <w:r>
              <w:rPr>
                <w:rFonts w:hint="eastAsia"/>
                <w:color w:val="auto"/>
              </w:rPr>
              <w:t>、NH</w:t>
            </w:r>
            <w:r>
              <w:rPr>
                <w:rFonts w:hint="eastAsia"/>
                <w:color w:val="auto"/>
                <w:vertAlign w:val="subscript"/>
                <w:lang w:val="en-US" w:eastAsia="zh-CN"/>
              </w:rPr>
              <w:t>3</w:t>
            </w:r>
            <w:r>
              <w:rPr>
                <w:rFonts w:hint="eastAsia"/>
                <w:color w:val="auto"/>
              </w:rPr>
              <w:t>-N总量纳入新兴污水处理厂已核定的总量控制指标统一管理，不另行申请；项目不涉及喷涂、印刷、溶剂清洗等VOCs重点排放工序，不设置VOCs总量控制指标。因此，本项目需单独申请的总量控制指标为NO</w:t>
            </w:r>
            <w:r>
              <w:rPr>
                <w:rFonts w:hint="eastAsia"/>
                <w:color w:val="auto"/>
                <w:lang w:val="en-US" w:eastAsia="zh-CN"/>
              </w:rPr>
              <w:t>x</w:t>
            </w:r>
            <w:r>
              <w:rPr>
                <w:rFonts w:hint="eastAsia"/>
                <w:color w:val="auto"/>
              </w:rPr>
              <w:t>。</w:t>
            </w:r>
          </w:p>
          <w:p w14:paraId="33019EF9">
            <w:pPr>
              <w:ind w:firstLine="480"/>
              <w:rPr>
                <w:color w:val="auto"/>
              </w:rPr>
            </w:pPr>
            <w:r>
              <w:rPr>
                <w:color w:val="auto"/>
              </w:rPr>
              <w:t>1</w:t>
            </w:r>
            <w:r>
              <w:rPr>
                <w:rFonts w:hint="eastAsia"/>
                <w:color w:val="auto"/>
              </w:rPr>
              <w:t>、水污染总量控制指标</w:t>
            </w:r>
          </w:p>
          <w:p w14:paraId="5E34F80E">
            <w:pPr>
              <w:ind w:firstLine="480"/>
              <w:rPr>
                <w:rFonts w:hint="eastAsia"/>
                <w:color w:val="auto"/>
              </w:rPr>
            </w:pPr>
            <w:r>
              <w:rPr>
                <w:rFonts w:hint="eastAsia"/>
                <w:color w:val="auto"/>
              </w:rPr>
              <w:t>本项目运营期废水主要包括生产废水和生活污水。生产废水经</w:t>
            </w:r>
            <w:r>
              <w:rPr>
                <w:rFonts w:hint="eastAsia"/>
                <w:color w:val="auto"/>
                <w:lang w:eastAsia="zh-CN"/>
              </w:rPr>
              <w:t>厂区自建污水处理设施“隔油沉淀+一体化A/O工艺”</w:t>
            </w:r>
            <w:r>
              <w:rPr>
                <w:rFonts w:hint="eastAsia"/>
                <w:color w:val="auto"/>
              </w:rPr>
              <w:t>预处理，生活污水经化粪池预处理，各类废水达到《污水综合排放标准》（GB 8978—1996）三级标准及新兴污水处理厂进水水质要求后，经园区污水管网排入新兴污水处理厂进一步处理。</w:t>
            </w:r>
          </w:p>
          <w:p w14:paraId="0F41BC3B">
            <w:pPr>
              <w:ind w:firstLine="480"/>
              <w:rPr>
                <w:color w:val="auto"/>
              </w:rPr>
            </w:pPr>
            <w:r>
              <w:rPr>
                <w:rFonts w:hint="eastAsia"/>
                <w:color w:val="auto"/>
              </w:rPr>
              <w:t>本项目废水纳管量为1338.</w:t>
            </w:r>
            <w:r>
              <w:rPr>
                <w:rFonts w:hint="eastAsia"/>
                <w:color w:val="auto"/>
                <w:lang w:val="en-US" w:eastAsia="zh-CN"/>
              </w:rPr>
              <w:t>772</w:t>
            </w:r>
            <w:r>
              <w:rPr>
                <w:rFonts w:hint="eastAsia"/>
                <w:color w:val="auto"/>
              </w:rPr>
              <w:t xml:space="preserve"> m</w:t>
            </w:r>
            <w:r>
              <w:rPr>
                <w:rFonts w:hint="eastAsia"/>
                <w:color w:val="auto"/>
                <w:vertAlign w:val="superscript"/>
                <w:lang w:val="en-US" w:eastAsia="zh-CN"/>
              </w:rPr>
              <w:t>3</w:t>
            </w:r>
            <w:r>
              <w:rPr>
                <w:rFonts w:hint="eastAsia"/>
                <w:color w:val="auto"/>
              </w:rPr>
              <w:t>/a，属于间接排放，COD</w:t>
            </w:r>
            <w:r>
              <w:rPr>
                <w:rFonts w:hint="eastAsia"/>
                <w:color w:val="auto"/>
                <w:vertAlign w:val="subscript"/>
              </w:rPr>
              <w:t>Cr</w:t>
            </w:r>
            <w:r>
              <w:rPr>
                <w:rFonts w:hint="eastAsia"/>
                <w:color w:val="auto"/>
              </w:rPr>
              <w:t>和NH</w:t>
            </w:r>
            <w:r>
              <w:rPr>
                <w:rFonts w:hint="eastAsia"/>
                <w:color w:val="auto"/>
                <w:vertAlign w:val="subscript"/>
                <w:lang w:val="en-US" w:eastAsia="zh-CN"/>
              </w:rPr>
              <w:t>3</w:t>
            </w:r>
            <w:r>
              <w:rPr>
                <w:rFonts w:hint="eastAsia"/>
                <w:color w:val="auto"/>
              </w:rPr>
              <w:t>-N排放总量纳入新兴污水处理厂总量控制指标统一管理，本项目不单独设置和申请水污染物总量控制指标。</w:t>
            </w:r>
          </w:p>
          <w:p w14:paraId="67DEE8E4">
            <w:pPr>
              <w:ind w:firstLine="480"/>
              <w:rPr>
                <w:color w:val="auto"/>
              </w:rPr>
            </w:pPr>
            <w:r>
              <w:rPr>
                <w:color w:val="auto"/>
              </w:rPr>
              <w:t>2</w:t>
            </w:r>
            <w:r>
              <w:rPr>
                <w:rFonts w:hint="eastAsia"/>
                <w:color w:val="auto"/>
              </w:rPr>
              <w:t>、大气污染物总量控制指标</w:t>
            </w:r>
          </w:p>
          <w:p w14:paraId="6D995B47">
            <w:pPr>
              <w:ind w:firstLine="480"/>
              <w:rPr>
                <w:color w:val="auto"/>
              </w:rPr>
            </w:pPr>
            <w:r>
              <w:rPr>
                <w:rFonts w:hint="eastAsia"/>
                <w:color w:val="auto"/>
              </w:rPr>
              <w:t>本项目运营期大气污染物主要包括颗粒物、油烟、SO</w:t>
            </w:r>
            <w:r>
              <w:rPr>
                <w:rFonts w:hint="eastAsia"/>
                <w:color w:val="auto"/>
                <w:vertAlign w:val="subscript"/>
              </w:rPr>
              <w:t>2</w:t>
            </w:r>
            <w:r>
              <w:rPr>
                <w:rFonts w:hint="eastAsia"/>
                <w:color w:val="auto"/>
              </w:rPr>
              <w:t>和NOx等。其中，SO</w:t>
            </w:r>
            <w:r>
              <w:rPr>
                <w:rFonts w:hint="eastAsia"/>
                <w:color w:val="auto"/>
                <w:vertAlign w:val="subscript"/>
              </w:rPr>
              <w:t>2</w:t>
            </w:r>
            <w:r>
              <w:rPr>
                <w:rFonts w:hint="eastAsia"/>
                <w:color w:val="auto"/>
              </w:rPr>
              <w:t>和NOx主要来源于天然气燃烧。本项目不涉及喷涂、印刷、涂胶、溶剂清洗等VOCs重点排放工序，因此VOCs不作为本项目总量控制指标。</w:t>
            </w:r>
          </w:p>
          <w:p w14:paraId="2F4F9493">
            <w:pPr>
              <w:ind w:firstLine="480"/>
              <w:rPr>
                <w:rFonts w:hint="eastAsia" w:ascii="宋体" w:hAnsi="宋体" w:cs="宋体"/>
                <w:color w:val="auto"/>
                <w:kern w:val="0"/>
                <w:szCs w:val="21"/>
              </w:rPr>
            </w:pPr>
            <w:r>
              <w:rPr>
                <w:rFonts w:hint="eastAsia"/>
                <w:color w:val="auto"/>
              </w:rPr>
              <w:t>根据现行主要污染物排放总量控制要求，结合本项目污染物产生及排放特征，本项目大气污染物总量控制指标确定为NOx。根据前文核算，本项目NOx排放量约为0.01539t/a，建议NOx总量控制指标为0.01539t/a。</w:t>
            </w:r>
          </w:p>
        </w:tc>
      </w:tr>
    </w:tbl>
    <w:p w14:paraId="76264A59">
      <w:pPr>
        <w:pStyle w:val="13"/>
        <w:spacing w:beforeAutospacing="0" w:afterAutospacing="0"/>
        <w:outlineLvl w:val="0"/>
        <w:rPr>
          <w:rFonts w:hint="eastAsia" w:ascii="黑体" w:hAnsi="黑体" w:eastAsia="黑体"/>
          <w:snapToGrid w:val="0"/>
          <w:color w:val="auto"/>
          <w:sz w:val="30"/>
          <w:szCs w:val="30"/>
        </w:rPr>
      </w:pPr>
      <w:r>
        <w:rPr>
          <w:rFonts w:ascii="黑体" w:hAnsi="黑体" w:eastAsia="黑体"/>
          <w:snapToGrid w:val="0"/>
          <w:color w:val="auto"/>
          <w:sz w:val="36"/>
          <w:szCs w:val="36"/>
        </w:rPr>
        <w:br w:type="page"/>
      </w:r>
      <w:bookmarkStart w:id="5" w:name="_Toc10404"/>
      <w:r>
        <w:rPr>
          <w:rFonts w:hint="eastAsia" w:ascii="黑体" w:hAnsi="黑体" w:eastAsia="黑体"/>
          <w:snapToGrid w:val="0"/>
          <w:color w:val="auto"/>
          <w:sz w:val="30"/>
          <w:szCs w:val="30"/>
        </w:rPr>
        <w:t>四、主要环境影响和保护措施</w:t>
      </w:r>
      <w:bookmarkEnd w:id="5"/>
    </w:p>
    <w:tbl>
      <w:tblPr>
        <w:tblStyle w:val="16"/>
        <w:tblW w:w="897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3"/>
        <w:gridCol w:w="8256"/>
      </w:tblGrid>
      <w:tr w14:paraId="4E5F8A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67" w:hRule="atLeast"/>
          <w:jc w:val="center"/>
        </w:trPr>
        <w:tc>
          <w:tcPr>
            <w:tcW w:w="723" w:type="dxa"/>
            <w:tcMar>
              <w:left w:w="28" w:type="dxa"/>
              <w:right w:w="28" w:type="dxa"/>
            </w:tcMar>
            <w:vAlign w:val="center"/>
          </w:tcPr>
          <w:p w14:paraId="35FF2A26">
            <w:pPr>
              <w:pStyle w:val="13"/>
              <w:adjustRightInd w:val="0"/>
              <w:snapToGrid w:val="0"/>
              <w:spacing w:beforeAutospacing="0" w:afterAutospacing="0"/>
              <w:rPr>
                <w:rFonts w:hint="eastAsia" w:cs="宋体"/>
                <w:bCs/>
                <w:color w:val="auto"/>
                <w:kern w:val="2"/>
                <w:szCs w:val="24"/>
              </w:rPr>
            </w:pPr>
            <w:r>
              <w:rPr>
                <w:rFonts w:hint="eastAsia" w:cs="宋体"/>
                <w:color w:val="auto"/>
                <w:kern w:val="2"/>
                <w:szCs w:val="24"/>
              </w:rPr>
              <w:t>施工期环境保护措施</w:t>
            </w:r>
          </w:p>
        </w:tc>
        <w:tc>
          <w:tcPr>
            <w:tcW w:w="8256" w:type="dxa"/>
            <w:vAlign w:val="center"/>
          </w:tcPr>
          <w:p w14:paraId="1900CA59">
            <w:pPr>
              <w:ind w:firstLine="480"/>
              <w:rPr>
                <w:rFonts w:hint="eastAsia" w:ascii="宋体" w:hAnsi="宋体" w:cs="宋体"/>
                <w:bCs/>
                <w:color w:val="auto"/>
                <w:spacing w:val="-10"/>
              </w:rPr>
            </w:pPr>
            <w:r>
              <w:rPr>
                <w:rFonts w:hint="eastAsia"/>
                <w:color w:val="auto"/>
              </w:rPr>
              <w:t>本项目利用现有厂房进行建设，不涉及土石方开挖及主体建筑施工，施工期主要进行生产设备搬运、安装及调试。施工过程中产生的环境影响主要为设备搬运、安装噪声，以及少量设备包装废物和施工人员生活污水。施工期间通过合理安排作业时间、加强施工管理及轻拿轻放等措施降低噪声影响；设备包装材料分类收集后外售或综合利用；施工人员生活污水依托厂区现有生活污水处理设施处理。项目施工期较短，污染物产生量较少，采取上述措施后对周边环境影响较小，施工期间未收到相关环境投诉。</w:t>
            </w:r>
          </w:p>
        </w:tc>
      </w:tr>
      <w:tr w14:paraId="14E9C8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3" w:type="dxa"/>
            <w:tcMar>
              <w:left w:w="28" w:type="dxa"/>
              <w:right w:w="28" w:type="dxa"/>
            </w:tcMar>
            <w:vAlign w:val="center"/>
          </w:tcPr>
          <w:p w14:paraId="4249A13C">
            <w:pPr>
              <w:adjustRightInd w:val="0"/>
              <w:snapToGrid w:val="0"/>
              <w:ind w:firstLine="0" w:firstLineChars="0"/>
              <w:jc w:val="center"/>
              <w:rPr>
                <w:rFonts w:hint="eastAsia" w:ascii="宋体" w:hAnsi="宋体" w:cs="宋体"/>
                <w:bCs/>
                <w:color w:val="auto"/>
              </w:rPr>
            </w:pPr>
            <w:r>
              <w:rPr>
                <w:rFonts w:hint="eastAsia" w:ascii="宋体" w:hAnsi="宋体" w:cs="宋体"/>
                <w:bCs/>
                <w:color w:val="auto"/>
              </w:rPr>
              <w:t>运营期环境影响和保护措施</w:t>
            </w:r>
          </w:p>
        </w:tc>
        <w:tc>
          <w:tcPr>
            <w:tcW w:w="8256" w:type="dxa"/>
          </w:tcPr>
          <w:p w14:paraId="1DBB5EE7">
            <w:pPr>
              <w:ind w:firstLine="482"/>
              <w:rPr>
                <w:b/>
                <w:bCs/>
                <w:color w:val="auto"/>
              </w:rPr>
            </w:pPr>
            <w:r>
              <w:rPr>
                <w:rFonts w:hint="eastAsia"/>
                <w:b/>
                <w:bCs/>
                <w:color w:val="auto"/>
              </w:rPr>
              <w:t>1、运营期大气环境影响和保护措施</w:t>
            </w:r>
          </w:p>
          <w:p w14:paraId="3834912B">
            <w:pPr>
              <w:ind w:firstLine="482"/>
              <w:rPr>
                <w:b/>
                <w:bCs/>
                <w:color w:val="auto"/>
              </w:rPr>
            </w:pPr>
            <w:r>
              <w:rPr>
                <w:rFonts w:hint="eastAsia"/>
                <w:b/>
                <w:bCs/>
                <w:color w:val="auto"/>
              </w:rPr>
              <w:t>（1）废气源强</w:t>
            </w:r>
          </w:p>
          <w:p w14:paraId="53B202E0">
            <w:pPr>
              <w:ind w:firstLine="480"/>
              <w:rPr>
                <w:color w:val="auto"/>
              </w:rPr>
            </w:pPr>
            <w:r>
              <w:rPr>
                <w:color w:val="auto"/>
              </w:rPr>
              <w:t>本项目已建成并投入生产，根据现状生产工艺及产污环节分析，运营期废气主要包括粉碎、投料、调配混合及固体产品包装过程中产生的颗粒物，制粒、干燥过程中产生的颗粒物，熟制、炒制过程中产生的食品加工油烟及异味，以及天然气燃烧产生的燃烧废气。</w:t>
            </w:r>
          </w:p>
          <w:p w14:paraId="6F25268F">
            <w:pPr>
              <w:ind w:firstLine="482"/>
              <w:rPr>
                <w:b/>
                <w:bCs/>
                <w:color w:val="auto"/>
              </w:rPr>
            </w:pPr>
            <w:r>
              <w:rPr>
                <w:rFonts w:hint="eastAsia"/>
                <w:b/>
                <w:bCs/>
                <w:color w:val="auto"/>
              </w:rPr>
              <w:t>1）粉碎、投料、调配混合、制粒、干燥及包装粉尘</w:t>
            </w:r>
          </w:p>
          <w:p w14:paraId="7F453E52">
            <w:pPr>
              <w:ind w:firstLine="480"/>
              <w:rPr>
                <w:color w:val="auto"/>
              </w:rPr>
            </w:pPr>
            <w:r>
              <w:rPr>
                <w:color w:val="auto"/>
              </w:rPr>
              <w:t>本项目鸡精调味料、香辛料粉、复合调味粉等生产过程中，辣椒、孜然等原料需经粉碎处理</w:t>
            </w:r>
            <w:r>
              <w:rPr>
                <w:rFonts w:hint="eastAsia"/>
                <w:color w:val="auto"/>
              </w:rPr>
              <w:t>产生粉碎粉尘，由于《排放源统计调查产排污核算方法和系数手册-1469其他调味品、发酵制品制造行业系数手册》中无粉碎粉尘产污系数，</w:t>
            </w:r>
            <w:r>
              <w:rPr>
                <w:rFonts w:hint="eastAsia"/>
                <w:color w:val="auto"/>
                <w:lang w:val="en-US" w:eastAsia="zh-CN"/>
              </w:rPr>
              <w:t>参照</w:t>
            </w:r>
            <w:r>
              <w:rPr>
                <w:rFonts w:hint="eastAsia"/>
                <w:color w:val="auto"/>
              </w:rPr>
              <w:t>《排放源统计调查产排污核算方法和系数手册—132饲料加工行业系数手册》中“粉碎+混合+制粒（可不制粒）+除尘”工艺颗粒物产排污系数进行核算。对于生产规模</w:t>
            </w:r>
            <w:r>
              <w:rPr>
                <w:color w:val="auto"/>
              </w:rPr>
              <w:t>＜</w:t>
            </w:r>
            <w:r>
              <w:rPr>
                <w:rFonts w:hint="eastAsia"/>
                <w:color w:val="auto"/>
              </w:rPr>
              <w:t>10万t/a的项目，颗粒物系数为0.043kg/t-产品。本项目鸡精调味料产量为0.26t/a，</w:t>
            </w:r>
            <w:r>
              <w:rPr>
                <w:rFonts w:hint="eastAsia"/>
                <w:color w:val="auto"/>
              </w:rPr>
              <w:t>香辛料粉及复合调味粉产量为12.19t/a，合计约12.45t/a，则粉碎粉尘产生量为0.000535t/a。本项目粉碎、投料、调配混合、制粒及包装等工序产尘量较少，经企业核实，不设置废气集中收集及除尘设施，采取设备密闭、缓慢投料、降低物料落差、加强车间通风和及时清扫等措施控制粉尘逸散。设备密闭作为源头控制措施，不单独核算颗粒物去除效率，因此颗粒物全部按无组织排放考虑，无组织排放量为0.000535 t/a。按年运行2320 h计，排放速率约为0.000231 kg/h。</w:t>
            </w:r>
          </w:p>
          <w:p w14:paraId="3152D61D">
            <w:pPr>
              <w:ind w:firstLine="482"/>
              <w:rPr>
                <w:color w:val="auto"/>
              </w:rPr>
            </w:pPr>
            <w:r>
              <w:rPr>
                <w:rFonts w:hint="eastAsia"/>
                <w:b/>
                <w:bCs/>
                <w:color w:val="auto"/>
                <w:lang w:val="en-US" w:eastAsia="zh-CN"/>
              </w:rPr>
              <w:t>2</w:t>
            </w:r>
            <w:r>
              <w:rPr>
                <w:rFonts w:hint="eastAsia"/>
                <w:b/>
                <w:bCs/>
                <w:color w:val="auto"/>
              </w:rPr>
              <w:t>）熟制、炒制油烟及异味</w:t>
            </w:r>
          </w:p>
          <w:p w14:paraId="354B5D51">
            <w:pPr>
              <w:ind w:firstLine="480"/>
              <w:rPr>
                <w:rFonts w:hint="eastAsia"/>
                <w:color w:val="auto"/>
                <w:lang w:eastAsia="zh-CN"/>
              </w:rPr>
            </w:pPr>
            <w:r>
              <w:rPr>
                <w:color w:val="auto"/>
              </w:rPr>
              <w:t>本项目半固体复合调味酱、复合调味油等产品在熟制、炒制过程中使用食用植物油，食用植物油年用量约为8.6t/a。油脂在高温加热过程中部分挥发，并伴随热分解产生油烟废气。参考《环境影响评价工程师职业资格登记培训教材——社会区域类环境影响评价》，油烟挥发量一般按食用油用量的2%～4%计，本评价取3%，则本项目油烟产生量为</w:t>
            </w:r>
            <w:r>
              <w:rPr>
                <w:rFonts w:hint="eastAsia"/>
                <w:color w:val="auto"/>
              </w:rPr>
              <w:t>0.258t/a，产生速率约为0.111kg/h</w:t>
            </w:r>
            <w:r>
              <w:rPr>
                <w:rFonts w:hint="eastAsia"/>
                <w:color w:val="auto"/>
                <w:lang w:eastAsia="zh-CN"/>
              </w:rPr>
              <w:t>。</w:t>
            </w:r>
          </w:p>
          <w:p w14:paraId="6E66B192">
            <w:pPr>
              <w:ind w:firstLine="480"/>
              <w:rPr>
                <w:rFonts w:hint="eastAsia"/>
                <w:color w:val="auto"/>
                <w:lang w:eastAsia="zh-CN"/>
              </w:rPr>
            </w:pPr>
            <w:r>
              <w:rPr>
                <w:rFonts w:hint="eastAsia"/>
                <w:color w:val="auto"/>
                <w:lang w:eastAsia="zh-CN"/>
              </w:rPr>
              <w:t>项目在卤煮汤锅、夹层锅、炒锅等熟制、炒制设备上方设置上吸式集气罩，集气罩罩口投影面积大于产污设备加热面，罩口面风速不低于0.6m/s。上述设置符合《饮食业环境保护技术规范》（HJ 554—2010）中关于油烟产生设备上方设置集气罩及罩口面风速的要求。</w:t>
            </w:r>
          </w:p>
          <w:p w14:paraId="51ECEB21">
            <w:pPr>
              <w:keepNext w:val="0"/>
              <w:keepLines w:val="0"/>
              <w:pageBreakBefore w:val="0"/>
              <w:widowControl w:val="0"/>
              <w:kinsoku/>
              <w:wordWrap w:val="0"/>
              <w:overflowPunct/>
              <w:topLinePunct w:val="0"/>
              <w:autoSpaceDE/>
              <w:autoSpaceDN/>
              <w:bidi w:val="0"/>
              <w:adjustRightInd/>
              <w:snapToGrid/>
              <w:ind w:firstLine="480"/>
              <w:textAlignment w:val="auto"/>
              <w:rPr>
                <w:rFonts w:hint="eastAsia"/>
                <w:color w:val="auto"/>
              </w:rPr>
            </w:pPr>
            <w:r>
              <w:rPr>
                <w:rFonts w:hint="eastAsia"/>
                <w:color w:val="auto"/>
              </w:rPr>
              <w:t>类比《平江县劲仔食品有限公司新一代风味休闲食品研发中心项目环境影响报告表》https://www.pingjiang.gov.cn/yyjc/jc_pjx/uploadfiles/202208/20220829230222790.pdf?utm_source=chatgpt.com，该食品加工项目油炸工序采用集气罩收集，集气效率按90%计，油烟废气经处理效率不低于95%的高效油烟净化器处理，设计风量为15000m</w:t>
            </w:r>
            <w:r>
              <w:rPr>
                <w:rFonts w:hint="eastAsia"/>
                <w:color w:val="auto"/>
                <w:vertAlign w:val="superscript"/>
                <w:lang w:val="en-US" w:eastAsia="zh-CN"/>
              </w:rPr>
              <w:t>3</w:t>
            </w:r>
            <w:r>
              <w:rPr>
                <w:rFonts w:hint="eastAsia"/>
                <w:color w:val="auto"/>
              </w:rPr>
              <w:t>/h。该项目产污工序、废气性质及治理设施与本项目具有一定相似性，因此本项目集气效率取90%，高效静电油烟净化器净化效率取95%，</w:t>
            </w:r>
            <w:r>
              <w:rPr>
                <w:rFonts w:hint="eastAsia"/>
                <w:color w:val="auto"/>
                <w:lang w:val="en-US" w:eastAsia="zh-CN"/>
              </w:rPr>
              <w:t>本项目</w:t>
            </w:r>
            <w:r>
              <w:rPr>
                <w:rFonts w:hint="eastAsia"/>
                <w:color w:val="auto"/>
              </w:rPr>
              <w:t>风量</w:t>
            </w:r>
            <w:r>
              <w:rPr>
                <w:rFonts w:hint="eastAsia"/>
                <w:color w:val="auto"/>
                <w:lang w:val="en-US" w:eastAsia="zh-CN"/>
              </w:rPr>
              <w:t>为2</w:t>
            </w:r>
            <w:r>
              <w:rPr>
                <w:rFonts w:hint="eastAsia"/>
                <w:color w:val="auto"/>
              </w:rPr>
              <w:t>5000m</w:t>
            </w:r>
            <w:r>
              <w:rPr>
                <w:rFonts w:hint="eastAsia"/>
                <w:color w:val="auto"/>
                <w:vertAlign w:val="superscript"/>
                <w:lang w:val="en-US" w:eastAsia="zh-CN"/>
              </w:rPr>
              <w:t>3</w:t>
            </w:r>
            <w:r>
              <w:rPr>
                <w:rFonts w:hint="eastAsia"/>
                <w:color w:val="auto"/>
              </w:rPr>
              <w:t>/h，经核算，项目油烟有组织产生量为0.2322t/a，经高效静电油烟净化器处理后的有组织排放量为0.01161t/a，排放速率为0.0050kg/h，排放浓度为0.20mg/m</w:t>
            </w:r>
            <w:r>
              <w:rPr>
                <w:rFonts w:hint="eastAsia"/>
                <w:color w:val="auto"/>
                <w:vertAlign w:val="superscript"/>
                <w:lang w:val="en-US" w:eastAsia="zh-CN"/>
              </w:rPr>
              <w:t>3</w:t>
            </w:r>
            <w:r>
              <w:rPr>
                <w:rFonts w:hint="eastAsia"/>
                <w:color w:val="auto"/>
              </w:rPr>
              <w:t>；未收集油烟以无组织形式排放，排放量为0.0258t/a、排放速率为0.0111kg/h。项目油烟总排放量为0.03741t/a。有组织油烟排放浓度能够满足《饮食业油烟排放标准（试行）》（GB 18483—2001）中2.0mg/m</w:t>
            </w:r>
            <w:r>
              <w:rPr>
                <w:rFonts w:hint="eastAsia"/>
                <w:color w:val="auto"/>
                <w:vertAlign w:val="superscript"/>
                <w:lang w:val="en-US" w:eastAsia="zh-CN"/>
              </w:rPr>
              <w:t>3</w:t>
            </w:r>
            <w:r>
              <w:rPr>
                <w:rFonts w:hint="eastAsia"/>
                <w:color w:val="auto"/>
              </w:rPr>
              <w:t>的最高允许排放浓度限值。</w:t>
            </w:r>
          </w:p>
          <w:p w14:paraId="21E0E6BB">
            <w:pPr>
              <w:keepNext w:val="0"/>
              <w:keepLines w:val="0"/>
              <w:pageBreakBefore w:val="0"/>
              <w:widowControl w:val="0"/>
              <w:kinsoku/>
              <w:wordWrap w:val="0"/>
              <w:overflowPunct/>
              <w:topLinePunct w:val="0"/>
              <w:autoSpaceDE/>
              <w:autoSpaceDN/>
              <w:bidi w:val="0"/>
              <w:adjustRightInd/>
              <w:snapToGrid/>
              <w:ind w:firstLine="480"/>
              <w:textAlignment w:val="auto"/>
              <w:rPr>
                <w:rFonts w:hint="default" w:eastAsia="宋体"/>
                <w:color w:val="auto"/>
                <w:lang w:val="en-US" w:eastAsia="zh-CN"/>
              </w:rPr>
            </w:pPr>
            <w:r>
              <w:rPr>
                <w:rFonts w:hint="eastAsia"/>
                <w:color w:val="auto"/>
              </w:rPr>
              <w:t>此外，本项目复合调味酱、复合调味油等产品在熟制、炒制过程中，香辛料、食用植物油及其他原辅材料受热会产生少量食品加工异味，主要污染因子</w:t>
            </w:r>
            <w:r>
              <w:rPr>
                <w:rFonts w:hint="eastAsia"/>
                <w:color w:val="auto"/>
                <w:lang w:val="en-US" w:eastAsia="zh-CN"/>
              </w:rPr>
              <w:t>为</w:t>
            </w:r>
            <w:r>
              <w:rPr>
                <w:rFonts w:hint="eastAsia"/>
                <w:color w:val="auto"/>
              </w:rPr>
              <w:t>臭气浓度。项目熟制、炒制工序间歇运行，异味产生量较少。采取</w:t>
            </w:r>
            <w:r>
              <w:rPr>
                <w:rFonts w:hint="eastAsia"/>
                <w:color w:val="auto"/>
                <w:lang w:val="en-US" w:eastAsia="zh-CN"/>
              </w:rPr>
              <w:t>集气罩收集及车间管理措施后，有组织和无组织臭气浓度能够满足《恶臭污染物排放标准》（GB 14554—93）相关限值要求，对周围大气环境影响较小。</w:t>
            </w:r>
          </w:p>
          <w:p w14:paraId="0905449B">
            <w:pPr>
              <w:ind w:firstLine="482"/>
              <w:rPr>
                <w:color w:val="auto"/>
              </w:rPr>
            </w:pPr>
            <w:r>
              <w:rPr>
                <w:rFonts w:hint="eastAsia"/>
                <w:b/>
                <w:bCs/>
                <w:color w:val="auto"/>
                <w:lang w:val="en-US" w:eastAsia="zh-CN"/>
              </w:rPr>
              <w:t>3</w:t>
            </w:r>
            <w:r>
              <w:rPr>
                <w:rFonts w:hint="eastAsia"/>
                <w:b/>
                <w:bCs/>
                <w:color w:val="auto"/>
              </w:rPr>
              <w:t>）天然气燃烧废气</w:t>
            </w:r>
          </w:p>
          <w:p w14:paraId="11159413">
            <w:pPr>
              <w:ind w:firstLine="480"/>
              <w:rPr>
                <w:color w:val="auto"/>
              </w:rPr>
            </w:pPr>
            <w:r>
              <w:rPr>
                <w:color w:val="auto"/>
              </w:rPr>
              <w:t>本项目熟制、炒制等工序采用天然气供热。天然气用量根据各用气设备的数量、额定耗气量及实际运行时间进行核算，计算公式如下：</w:t>
            </w:r>
          </w:p>
          <w:p w14:paraId="236C38E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V＝Σ（nᵢ×qᵢ×tᵢ）</w:t>
            </w:r>
          </w:p>
          <w:p w14:paraId="234B3C02">
            <w:pPr>
              <w:ind w:firstLine="480"/>
              <w:rPr>
                <w:color w:val="auto"/>
              </w:rPr>
            </w:pPr>
            <w:r>
              <w:rPr>
                <w:color w:val="auto"/>
              </w:rPr>
              <w:t>式中：</w:t>
            </w:r>
          </w:p>
          <w:p w14:paraId="3D57D610">
            <w:pPr>
              <w:ind w:firstLine="480"/>
              <w:rPr>
                <w:color w:val="auto"/>
              </w:rPr>
            </w:pPr>
            <w:r>
              <w:rPr>
                <w:color w:val="auto"/>
              </w:rPr>
              <w:t>V为天然气年用量，m</w:t>
            </w:r>
            <w:r>
              <w:rPr>
                <w:rFonts w:hint="eastAsia"/>
                <w:color w:val="auto"/>
                <w:vertAlign w:val="superscript"/>
                <w:lang w:val="en-US" w:eastAsia="zh-CN"/>
              </w:rPr>
              <w:t>3</w:t>
            </w:r>
            <w:r>
              <w:rPr>
                <w:color w:val="auto"/>
              </w:rPr>
              <w:t>/a；</w:t>
            </w:r>
          </w:p>
          <w:p w14:paraId="366AE40F">
            <w:pPr>
              <w:ind w:firstLine="480"/>
              <w:rPr>
                <w:color w:val="auto"/>
              </w:rPr>
            </w:pPr>
            <w:r>
              <w:rPr>
                <w:color w:val="auto"/>
              </w:rPr>
              <w:t>nᵢ为第i类天然气加热设备数量，台</w:t>
            </w:r>
            <w:r>
              <w:rPr>
                <w:rFonts w:hint="eastAsia"/>
                <w:color w:val="auto"/>
                <w:lang w:eastAsia="zh-CN"/>
              </w:rPr>
              <w:t>，</w:t>
            </w:r>
            <w:r>
              <w:rPr>
                <w:rFonts w:hint="eastAsia"/>
                <w:color w:val="auto"/>
                <w:lang w:val="en-US" w:eastAsia="zh-CN"/>
              </w:rPr>
              <w:t>7台</w:t>
            </w:r>
            <w:r>
              <w:rPr>
                <w:color w:val="auto"/>
              </w:rPr>
              <w:t>；</w:t>
            </w:r>
          </w:p>
          <w:p w14:paraId="20C04813">
            <w:pPr>
              <w:ind w:firstLine="480"/>
              <w:rPr>
                <w:color w:val="auto"/>
              </w:rPr>
            </w:pPr>
            <w:r>
              <w:rPr>
                <w:color w:val="auto"/>
              </w:rPr>
              <w:t>qᵢ为第i类设备额定天然气耗量，m</w:t>
            </w:r>
            <w:r>
              <w:rPr>
                <w:rFonts w:hint="eastAsia"/>
                <w:color w:val="auto"/>
                <w:vertAlign w:val="superscript"/>
                <w:lang w:val="en-US" w:eastAsia="zh-CN"/>
              </w:rPr>
              <w:t>3</w:t>
            </w:r>
            <w:r>
              <w:rPr>
                <w:color w:val="auto"/>
              </w:rPr>
              <w:t>/h；</w:t>
            </w:r>
          </w:p>
          <w:p w14:paraId="4779637B">
            <w:pPr>
              <w:ind w:firstLine="480"/>
              <w:rPr>
                <w:color w:val="auto"/>
              </w:rPr>
            </w:pPr>
            <w:r>
              <w:rPr>
                <w:color w:val="auto"/>
              </w:rPr>
              <w:t>tᵢ为第i类设备年运行时间，h/a</w:t>
            </w:r>
            <w:r>
              <w:rPr>
                <w:rFonts w:hint="eastAsia"/>
                <w:color w:val="auto"/>
                <w:lang w:eastAsia="zh-CN"/>
              </w:rPr>
              <w:t>，</w:t>
            </w:r>
            <w:r>
              <w:rPr>
                <w:rFonts w:hint="eastAsia"/>
                <w:color w:val="auto"/>
                <w:lang w:val="en-US" w:eastAsia="zh-CN"/>
              </w:rPr>
              <w:t>2320h</w:t>
            </w:r>
            <w:r>
              <w:rPr>
                <w:color w:val="auto"/>
              </w:rPr>
              <w:t>。</w:t>
            </w:r>
          </w:p>
          <w:p w14:paraId="5F98A43C">
            <w:pPr>
              <w:ind w:firstLine="480"/>
              <w:rPr>
                <w:color w:val="auto"/>
              </w:rPr>
            </w:pPr>
            <w:r>
              <w:rPr>
                <w:color w:val="auto"/>
              </w:rPr>
              <w:t>根据企业提供的天然气加热设备铭牌参数和实际运行时间，核算项目天然气年用量为</w:t>
            </w:r>
            <w:r>
              <w:rPr>
                <w:rFonts w:hint="eastAsia"/>
                <w:color w:val="auto"/>
                <w:lang w:val="en-US" w:eastAsia="zh-CN"/>
              </w:rPr>
              <w:t>3736</w:t>
            </w:r>
            <w:r>
              <w:rPr>
                <w:color w:val="auto"/>
              </w:rPr>
              <w:t>m</w:t>
            </w:r>
            <w:r>
              <w:rPr>
                <w:rFonts w:hint="eastAsia"/>
                <w:color w:val="auto"/>
                <w:vertAlign w:val="superscript"/>
                <w:lang w:val="en-US" w:eastAsia="zh-CN"/>
              </w:rPr>
              <w:t>3</w:t>
            </w:r>
            <w:r>
              <w:rPr>
                <w:color w:val="auto"/>
              </w:rPr>
              <w:t>/a。天然气燃烧过程中产生颗粒物、SO</w:t>
            </w:r>
            <w:r>
              <w:rPr>
                <w:rFonts w:hint="eastAsia"/>
                <w:color w:val="auto"/>
                <w:vertAlign w:val="subscript"/>
                <w:lang w:val="en-US" w:eastAsia="zh-CN"/>
              </w:rPr>
              <w:t>2</w:t>
            </w:r>
            <w:r>
              <w:rPr>
                <w:color w:val="auto"/>
              </w:rPr>
              <w:t>和NOx。参照《排放源统计调查产排污核算方法和系数手册》中“4430工业锅炉（热力生产和供应行业）系数手册”进行类比核算，废气量、颗粒物、SO</w:t>
            </w:r>
            <w:r>
              <w:rPr>
                <w:rFonts w:hint="eastAsia"/>
                <w:color w:val="auto"/>
                <w:vertAlign w:val="subscript"/>
                <w:lang w:val="en-US" w:eastAsia="zh-CN"/>
              </w:rPr>
              <w:t>2</w:t>
            </w:r>
            <w:r>
              <w:rPr>
                <w:color w:val="auto"/>
              </w:rPr>
              <w:t>和NOx产污系数分别取107753 Nm</w:t>
            </w:r>
            <w:r>
              <w:rPr>
                <w:rFonts w:hint="eastAsia"/>
                <w:color w:val="auto"/>
                <w:vertAlign w:val="superscript"/>
                <w:lang w:val="en-US" w:eastAsia="zh-CN"/>
              </w:rPr>
              <w:t>3</w:t>
            </w:r>
            <w:r>
              <w:rPr>
                <w:color w:val="auto"/>
              </w:rPr>
              <w:t>/万m</w:t>
            </w:r>
            <w:r>
              <w:rPr>
                <w:rFonts w:hint="eastAsia"/>
                <w:color w:val="auto"/>
                <w:vertAlign w:val="superscript"/>
                <w:lang w:val="en-US" w:eastAsia="zh-CN"/>
              </w:rPr>
              <w:t>3</w:t>
            </w:r>
            <w:r>
              <w:rPr>
                <w:color w:val="auto"/>
              </w:rPr>
              <w:t>-天然气、2.86 kg/万m</w:t>
            </w:r>
            <w:r>
              <w:rPr>
                <w:rFonts w:hint="eastAsia"/>
                <w:color w:val="auto"/>
                <w:vertAlign w:val="superscript"/>
                <w:lang w:val="en-US" w:eastAsia="zh-CN"/>
              </w:rPr>
              <w:t>3</w:t>
            </w:r>
            <w:r>
              <w:rPr>
                <w:color w:val="auto"/>
              </w:rPr>
              <w:t>-天然气、0.02S kg/万m</w:t>
            </w:r>
            <w:r>
              <w:rPr>
                <w:rFonts w:hint="eastAsia"/>
                <w:color w:val="auto"/>
                <w:vertAlign w:val="superscript"/>
                <w:lang w:val="en-US" w:eastAsia="zh-CN"/>
              </w:rPr>
              <w:t>3</w:t>
            </w:r>
            <w:r>
              <w:rPr>
                <w:color w:val="auto"/>
              </w:rPr>
              <w:t>-天然气和18.71 kg/万m</w:t>
            </w:r>
            <w:r>
              <w:rPr>
                <w:rFonts w:hint="eastAsia"/>
                <w:color w:val="auto"/>
                <w:vertAlign w:val="superscript"/>
                <w:lang w:val="en-US" w:eastAsia="zh-CN"/>
              </w:rPr>
              <w:t>3</w:t>
            </w:r>
            <w:r>
              <w:rPr>
                <w:color w:val="auto"/>
              </w:rPr>
              <w:t>-天然气。天然气含硫量按100 mg/m</w:t>
            </w:r>
            <w:r>
              <w:rPr>
                <w:rFonts w:hint="eastAsia"/>
                <w:color w:val="auto"/>
                <w:vertAlign w:val="superscript"/>
                <w:lang w:val="en-US" w:eastAsia="zh-CN"/>
              </w:rPr>
              <w:t>3</w:t>
            </w:r>
            <w:r>
              <w:rPr>
                <w:color w:val="auto"/>
              </w:rPr>
              <w:t>计，则SO</w:t>
            </w:r>
            <w:r>
              <w:rPr>
                <w:rFonts w:hint="eastAsia"/>
                <w:color w:val="auto"/>
                <w:vertAlign w:val="subscript"/>
                <w:lang w:val="en-US" w:eastAsia="zh-CN"/>
              </w:rPr>
              <w:t>2</w:t>
            </w:r>
            <w:r>
              <w:rPr>
                <w:color w:val="auto"/>
              </w:rPr>
              <w:t>产污系数为2.0 kg/万m</w:t>
            </w:r>
            <w:r>
              <w:rPr>
                <w:rFonts w:hint="eastAsia"/>
                <w:color w:val="auto"/>
                <w:vertAlign w:val="superscript"/>
                <w:lang w:val="en-US" w:eastAsia="zh-CN"/>
              </w:rPr>
              <w:t>3</w:t>
            </w:r>
            <w:r>
              <w:rPr>
                <w:color w:val="auto"/>
              </w:rPr>
              <w:t>-天然气。</w:t>
            </w:r>
          </w:p>
          <w:p w14:paraId="024BFBB8">
            <w:pPr>
              <w:ind w:firstLine="480"/>
              <w:rPr>
                <w:color w:val="auto"/>
              </w:rPr>
            </w:pPr>
            <w:r>
              <w:rPr>
                <w:rFonts w:hint="eastAsia"/>
                <w:color w:val="auto"/>
                <w:lang w:val="en-US" w:eastAsia="zh-CN"/>
              </w:rPr>
              <w:t>经计算，</w:t>
            </w:r>
            <w:r>
              <w:rPr>
                <w:color w:val="auto"/>
              </w:rPr>
              <w:t>天然气燃烧废气量为</w:t>
            </w:r>
            <w:r>
              <w:rPr>
                <w:rFonts w:hint="eastAsia"/>
                <w:color w:val="auto"/>
                <w:lang w:val="en-US" w:eastAsia="zh-CN"/>
              </w:rPr>
              <w:t>40256.52</w:t>
            </w:r>
            <w:r>
              <w:rPr>
                <w:color w:val="auto"/>
              </w:rPr>
              <w:t>Nm</w:t>
            </w:r>
            <w:r>
              <w:rPr>
                <w:rFonts w:hint="eastAsia"/>
                <w:color w:val="auto"/>
                <w:vertAlign w:val="superscript"/>
                <w:lang w:val="en-US" w:eastAsia="zh-CN"/>
              </w:rPr>
              <w:t>3</w:t>
            </w:r>
            <w:r>
              <w:rPr>
                <w:color w:val="auto"/>
              </w:rPr>
              <w:t>/a，颗粒物、SO</w:t>
            </w:r>
            <w:r>
              <w:rPr>
                <w:rFonts w:hint="eastAsia"/>
                <w:color w:val="auto"/>
                <w:vertAlign w:val="subscript"/>
                <w:lang w:val="en-US" w:eastAsia="zh-CN"/>
              </w:rPr>
              <w:t>2</w:t>
            </w:r>
            <w:r>
              <w:rPr>
                <w:color w:val="auto"/>
              </w:rPr>
              <w:t>和NOx产生量分别为</w:t>
            </w:r>
            <w:r>
              <w:rPr>
                <w:rFonts w:hint="eastAsia"/>
                <w:color w:val="auto"/>
                <w:lang w:val="en-US" w:eastAsia="zh-CN"/>
              </w:rPr>
              <w:t>0.0011</w:t>
            </w:r>
            <w:r>
              <w:rPr>
                <w:color w:val="auto"/>
              </w:rPr>
              <w:t>t/a、</w:t>
            </w:r>
            <w:r>
              <w:rPr>
                <w:rFonts w:hint="eastAsia"/>
                <w:color w:val="auto"/>
                <w:lang w:val="en-US" w:eastAsia="zh-CN"/>
              </w:rPr>
              <w:t>0.0007</w:t>
            </w:r>
            <w:r>
              <w:rPr>
                <w:color w:val="auto"/>
              </w:rPr>
              <w:t>t/a和</w:t>
            </w:r>
            <w:r>
              <w:rPr>
                <w:rFonts w:hint="eastAsia"/>
                <w:color w:val="auto"/>
                <w:lang w:val="en-US" w:eastAsia="zh-CN"/>
              </w:rPr>
              <w:t>0.0070</w:t>
            </w:r>
            <w:r>
              <w:rPr>
                <w:color w:val="auto"/>
              </w:rPr>
              <w:t>t/a。天然气燃烧废气随熟制、炒制油烟废气一并经集气罩收集，收集效率按90%计；收集废气经油烟净化设施后通过18 m高排气筒DA001排放，油烟净化设施不考虑对天然气燃烧产生的颗粒物、SO</w:t>
            </w:r>
            <w:r>
              <w:rPr>
                <w:rFonts w:hint="eastAsia"/>
                <w:color w:val="auto"/>
                <w:vertAlign w:val="subscript"/>
                <w:lang w:val="en-US" w:eastAsia="zh-CN"/>
              </w:rPr>
              <w:t>2</w:t>
            </w:r>
            <w:r>
              <w:rPr>
                <w:color w:val="auto"/>
              </w:rPr>
              <w:t>和NOx的去除作用；未被收集的10%废气在熟制间内无组织排放。项目废气产生及排放情况见表4-1。</w:t>
            </w:r>
          </w:p>
          <w:p w14:paraId="3804777E">
            <w:pPr>
              <w:pStyle w:val="35"/>
              <w:rPr>
                <w:rFonts w:hint="default"/>
                <w:color w:val="auto"/>
              </w:rPr>
            </w:pPr>
            <w:r>
              <w:rPr>
                <w:color w:val="auto"/>
              </w:rPr>
              <w:t>表4-1 废气产生和排放一览表</w:t>
            </w:r>
          </w:p>
          <w:tbl>
            <w:tblPr>
              <w:tblStyle w:val="17"/>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4"/>
              <w:gridCol w:w="650"/>
              <w:gridCol w:w="637"/>
              <w:gridCol w:w="811"/>
              <w:gridCol w:w="765"/>
              <w:gridCol w:w="735"/>
              <w:gridCol w:w="982"/>
              <w:gridCol w:w="815"/>
              <w:gridCol w:w="703"/>
              <w:gridCol w:w="1462"/>
            </w:tblGrid>
            <w:tr w14:paraId="70EAEE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4" w:type="pct"/>
                  <w:vMerge w:val="restart"/>
                  <w:tcBorders>
                    <w:tl2br w:val="nil"/>
                    <w:tr2bl w:val="nil"/>
                  </w:tcBorders>
                  <w:vAlign w:val="center"/>
                </w:tcPr>
                <w:p w14:paraId="1E68F8B7">
                  <w:pPr>
                    <w:pStyle w:val="33"/>
                    <w:rPr>
                      <w:color w:val="auto"/>
                    </w:rPr>
                  </w:pPr>
                  <w:r>
                    <w:rPr>
                      <w:rFonts w:hint="eastAsia"/>
                      <w:color w:val="auto"/>
                    </w:rPr>
                    <w:t>排放形式</w:t>
                  </w:r>
                </w:p>
              </w:tc>
              <w:tc>
                <w:tcPr>
                  <w:tcW w:w="404" w:type="pct"/>
                  <w:vMerge w:val="restart"/>
                  <w:tcBorders>
                    <w:tl2br w:val="nil"/>
                    <w:tr2bl w:val="nil"/>
                  </w:tcBorders>
                  <w:vAlign w:val="center"/>
                </w:tcPr>
                <w:p w14:paraId="3C1A4A17">
                  <w:pPr>
                    <w:pStyle w:val="33"/>
                    <w:rPr>
                      <w:color w:val="auto"/>
                    </w:rPr>
                  </w:pPr>
                  <w:r>
                    <w:rPr>
                      <w:rFonts w:hint="eastAsia"/>
                      <w:color w:val="auto"/>
                    </w:rPr>
                    <w:t>污染源名称</w:t>
                  </w:r>
                </w:p>
              </w:tc>
              <w:tc>
                <w:tcPr>
                  <w:tcW w:w="396" w:type="pct"/>
                  <w:vMerge w:val="restart"/>
                  <w:tcBorders>
                    <w:tl2br w:val="nil"/>
                    <w:tr2bl w:val="nil"/>
                  </w:tcBorders>
                  <w:vAlign w:val="center"/>
                </w:tcPr>
                <w:p w14:paraId="57992461">
                  <w:pPr>
                    <w:pStyle w:val="33"/>
                    <w:rPr>
                      <w:color w:val="auto"/>
                    </w:rPr>
                  </w:pPr>
                  <w:r>
                    <w:rPr>
                      <w:rFonts w:hint="eastAsia"/>
                      <w:color w:val="auto"/>
                    </w:rPr>
                    <w:t>污染物指标</w:t>
                  </w:r>
                </w:p>
              </w:tc>
              <w:tc>
                <w:tcPr>
                  <w:tcW w:w="1438" w:type="pct"/>
                  <w:gridSpan w:val="3"/>
                  <w:tcBorders>
                    <w:tl2br w:val="nil"/>
                    <w:tr2bl w:val="nil"/>
                  </w:tcBorders>
                  <w:vAlign w:val="center"/>
                </w:tcPr>
                <w:p w14:paraId="291576C8">
                  <w:pPr>
                    <w:pStyle w:val="33"/>
                    <w:rPr>
                      <w:color w:val="auto"/>
                    </w:rPr>
                  </w:pPr>
                  <w:r>
                    <w:rPr>
                      <w:rFonts w:hint="eastAsia"/>
                      <w:color w:val="auto"/>
                    </w:rPr>
                    <w:t>产生情况</w:t>
                  </w:r>
                </w:p>
              </w:tc>
              <w:tc>
                <w:tcPr>
                  <w:tcW w:w="1555" w:type="pct"/>
                  <w:gridSpan w:val="3"/>
                  <w:tcBorders>
                    <w:tl2br w:val="nil"/>
                    <w:tr2bl w:val="nil"/>
                  </w:tcBorders>
                  <w:vAlign w:val="center"/>
                </w:tcPr>
                <w:p w14:paraId="377A8C75">
                  <w:pPr>
                    <w:pStyle w:val="33"/>
                    <w:rPr>
                      <w:color w:val="auto"/>
                    </w:rPr>
                  </w:pPr>
                  <w:r>
                    <w:rPr>
                      <w:rFonts w:hint="eastAsia"/>
                      <w:color w:val="auto"/>
                    </w:rPr>
                    <w:t>排放情况</w:t>
                  </w:r>
                </w:p>
              </w:tc>
              <w:tc>
                <w:tcPr>
                  <w:tcW w:w="909" w:type="pct"/>
                  <w:vMerge w:val="restart"/>
                  <w:tcBorders>
                    <w:tl2br w:val="nil"/>
                    <w:tr2bl w:val="nil"/>
                  </w:tcBorders>
                  <w:vAlign w:val="center"/>
                </w:tcPr>
                <w:p w14:paraId="736B2803">
                  <w:pPr>
                    <w:pStyle w:val="33"/>
                    <w:rPr>
                      <w:color w:val="auto"/>
                    </w:rPr>
                  </w:pPr>
                  <w:r>
                    <w:rPr>
                      <w:rFonts w:hint="eastAsia"/>
                      <w:color w:val="auto"/>
                    </w:rPr>
                    <w:t>处理方式</w:t>
                  </w:r>
                </w:p>
              </w:tc>
            </w:tr>
            <w:tr w14:paraId="34695E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4" w:type="pct"/>
                  <w:vMerge w:val="continue"/>
                  <w:tcBorders>
                    <w:tl2br w:val="nil"/>
                    <w:tr2bl w:val="nil"/>
                  </w:tcBorders>
                  <w:vAlign w:val="center"/>
                </w:tcPr>
                <w:p w14:paraId="7FC0348C">
                  <w:pPr>
                    <w:pStyle w:val="33"/>
                    <w:rPr>
                      <w:color w:val="auto"/>
                    </w:rPr>
                  </w:pPr>
                </w:p>
              </w:tc>
              <w:tc>
                <w:tcPr>
                  <w:tcW w:w="404" w:type="pct"/>
                  <w:vMerge w:val="continue"/>
                  <w:tcBorders>
                    <w:tl2br w:val="nil"/>
                    <w:tr2bl w:val="nil"/>
                  </w:tcBorders>
                  <w:vAlign w:val="center"/>
                </w:tcPr>
                <w:p w14:paraId="0BACD6F9">
                  <w:pPr>
                    <w:pStyle w:val="33"/>
                    <w:rPr>
                      <w:color w:val="auto"/>
                    </w:rPr>
                  </w:pPr>
                </w:p>
              </w:tc>
              <w:tc>
                <w:tcPr>
                  <w:tcW w:w="396" w:type="pct"/>
                  <w:vMerge w:val="continue"/>
                  <w:tcBorders>
                    <w:tl2br w:val="nil"/>
                    <w:tr2bl w:val="nil"/>
                  </w:tcBorders>
                  <w:vAlign w:val="center"/>
                </w:tcPr>
                <w:p w14:paraId="00BFC888">
                  <w:pPr>
                    <w:pStyle w:val="33"/>
                    <w:rPr>
                      <w:color w:val="auto"/>
                    </w:rPr>
                  </w:pPr>
                </w:p>
              </w:tc>
              <w:tc>
                <w:tcPr>
                  <w:tcW w:w="504" w:type="pct"/>
                  <w:tcBorders>
                    <w:tl2br w:val="nil"/>
                    <w:tr2bl w:val="nil"/>
                  </w:tcBorders>
                  <w:vAlign w:val="center"/>
                </w:tcPr>
                <w:p w14:paraId="587CB41D">
                  <w:pPr>
                    <w:pStyle w:val="33"/>
                    <w:rPr>
                      <w:rFonts w:hint="eastAsia" w:eastAsia="宋体"/>
                      <w:color w:val="auto"/>
                      <w:lang w:eastAsia="zh-CN"/>
                    </w:rPr>
                  </w:pPr>
                  <w:r>
                    <w:rPr>
                      <w:rFonts w:hint="eastAsia"/>
                      <w:color w:val="auto"/>
                    </w:rPr>
                    <w:t>产生浓度mg/m</w:t>
                  </w:r>
                  <w:r>
                    <w:rPr>
                      <w:rFonts w:hint="eastAsia"/>
                      <w:color w:val="auto"/>
                      <w:vertAlign w:val="superscript"/>
                      <w:lang w:val="en-US" w:eastAsia="zh-CN"/>
                    </w:rPr>
                    <w:t>3</w:t>
                  </w:r>
                </w:p>
              </w:tc>
              <w:tc>
                <w:tcPr>
                  <w:tcW w:w="476" w:type="pct"/>
                  <w:tcBorders>
                    <w:tl2br w:val="nil"/>
                    <w:tr2bl w:val="nil"/>
                  </w:tcBorders>
                  <w:vAlign w:val="center"/>
                </w:tcPr>
                <w:p w14:paraId="4316AAE8">
                  <w:pPr>
                    <w:pStyle w:val="33"/>
                    <w:rPr>
                      <w:color w:val="auto"/>
                    </w:rPr>
                  </w:pPr>
                  <w:r>
                    <w:rPr>
                      <w:rFonts w:hint="eastAsia"/>
                      <w:color w:val="auto"/>
                    </w:rPr>
                    <w:t>产生量t/a</w:t>
                  </w:r>
                </w:p>
              </w:tc>
              <w:tc>
                <w:tcPr>
                  <w:tcW w:w="457" w:type="pct"/>
                  <w:tcBorders>
                    <w:tl2br w:val="nil"/>
                    <w:tr2bl w:val="nil"/>
                  </w:tcBorders>
                  <w:vAlign w:val="center"/>
                </w:tcPr>
                <w:p w14:paraId="57A75A93">
                  <w:pPr>
                    <w:pStyle w:val="33"/>
                    <w:rPr>
                      <w:color w:val="auto"/>
                    </w:rPr>
                  </w:pPr>
                  <w:r>
                    <w:rPr>
                      <w:rFonts w:hint="eastAsia"/>
                      <w:color w:val="auto"/>
                    </w:rPr>
                    <w:t>产生速率kg/h</w:t>
                  </w:r>
                </w:p>
              </w:tc>
              <w:tc>
                <w:tcPr>
                  <w:tcW w:w="611" w:type="pct"/>
                  <w:tcBorders>
                    <w:tl2br w:val="nil"/>
                    <w:tr2bl w:val="nil"/>
                  </w:tcBorders>
                  <w:vAlign w:val="center"/>
                </w:tcPr>
                <w:p w14:paraId="4A4AA081">
                  <w:pPr>
                    <w:pStyle w:val="33"/>
                    <w:rPr>
                      <w:color w:val="auto"/>
                    </w:rPr>
                  </w:pPr>
                  <w:r>
                    <w:rPr>
                      <w:rFonts w:hint="eastAsia"/>
                      <w:color w:val="auto"/>
                    </w:rPr>
                    <w:t>排放浓度mg/m</w:t>
                  </w:r>
                  <w:r>
                    <w:rPr>
                      <w:rFonts w:hint="eastAsia"/>
                      <w:color w:val="auto"/>
                      <w:vertAlign w:val="superscript"/>
                    </w:rPr>
                    <w:t>3</w:t>
                  </w:r>
                </w:p>
              </w:tc>
              <w:tc>
                <w:tcPr>
                  <w:tcW w:w="507" w:type="pct"/>
                  <w:tcBorders>
                    <w:tl2br w:val="nil"/>
                    <w:tr2bl w:val="nil"/>
                  </w:tcBorders>
                  <w:vAlign w:val="center"/>
                </w:tcPr>
                <w:p w14:paraId="2BFC4C4E">
                  <w:pPr>
                    <w:pStyle w:val="33"/>
                    <w:rPr>
                      <w:color w:val="auto"/>
                    </w:rPr>
                  </w:pPr>
                  <w:r>
                    <w:rPr>
                      <w:rFonts w:hint="eastAsia"/>
                      <w:color w:val="auto"/>
                    </w:rPr>
                    <w:t>排放量t/a</w:t>
                  </w:r>
                </w:p>
              </w:tc>
              <w:tc>
                <w:tcPr>
                  <w:tcW w:w="437" w:type="pct"/>
                  <w:tcBorders>
                    <w:tl2br w:val="nil"/>
                    <w:tr2bl w:val="nil"/>
                  </w:tcBorders>
                  <w:vAlign w:val="center"/>
                </w:tcPr>
                <w:p w14:paraId="09082534">
                  <w:pPr>
                    <w:pStyle w:val="33"/>
                    <w:rPr>
                      <w:color w:val="auto"/>
                    </w:rPr>
                  </w:pPr>
                  <w:r>
                    <w:rPr>
                      <w:rFonts w:hint="eastAsia"/>
                      <w:color w:val="auto"/>
                    </w:rPr>
                    <w:t>排放速率kg/h</w:t>
                  </w:r>
                </w:p>
              </w:tc>
              <w:tc>
                <w:tcPr>
                  <w:tcW w:w="909" w:type="pct"/>
                  <w:vMerge w:val="continue"/>
                  <w:tcBorders>
                    <w:tl2br w:val="nil"/>
                    <w:tr2bl w:val="nil"/>
                  </w:tcBorders>
                  <w:vAlign w:val="center"/>
                </w:tcPr>
                <w:p w14:paraId="1887FFB4">
                  <w:pPr>
                    <w:pStyle w:val="33"/>
                    <w:rPr>
                      <w:color w:val="auto"/>
                    </w:rPr>
                  </w:pPr>
                </w:p>
              </w:tc>
            </w:tr>
            <w:tr w14:paraId="44CC1C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4" w:type="pct"/>
                  <w:vMerge w:val="restart"/>
                  <w:tcBorders>
                    <w:tl2br w:val="nil"/>
                    <w:tr2bl w:val="nil"/>
                  </w:tcBorders>
                  <w:vAlign w:val="center"/>
                </w:tcPr>
                <w:p w14:paraId="49600FD8">
                  <w:pPr>
                    <w:pStyle w:val="33"/>
                    <w:rPr>
                      <w:color w:val="auto"/>
                    </w:rPr>
                  </w:pPr>
                  <w:r>
                    <w:rPr>
                      <w:rFonts w:hint="eastAsia"/>
                      <w:color w:val="auto"/>
                    </w:rPr>
                    <w:t>有组织</w:t>
                  </w:r>
                </w:p>
              </w:tc>
              <w:tc>
                <w:tcPr>
                  <w:tcW w:w="404" w:type="pct"/>
                  <w:vMerge w:val="restart"/>
                  <w:tcBorders>
                    <w:tl2br w:val="nil"/>
                    <w:tr2bl w:val="nil"/>
                  </w:tcBorders>
                  <w:vAlign w:val="center"/>
                </w:tcPr>
                <w:p w14:paraId="054CA4A5">
                  <w:pPr>
                    <w:pStyle w:val="33"/>
                    <w:rPr>
                      <w:color w:val="auto"/>
                    </w:rPr>
                  </w:pPr>
                  <w:r>
                    <w:rPr>
                      <w:rFonts w:hint="eastAsia"/>
                      <w:color w:val="auto"/>
                    </w:rPr>
                    <w:t>天然气燃烧废气</w:t>
                  </w:r>
                </w:p>
              </w:tc>
              <w:tc>
                <w:tcPr>
                  <w:tcW w:w="396" w:type="pct"/>
                  <w:tcBorders>
                    <w:tl2br w:val="nil"/>
                    <w:tr2bl w:val="nil"/>
                  </w:tcBorders>
                  <w:vAlign w:val="center"/>
                </w:tcPr>
                <w:p w14:paraId="6854F2E1">
                  <w:pPr>
                    <w:pStyle w:val="33"/>
                    <w:rPr>
                      <w:color w:val="auto"/>
                    </w:rPr>
                  </w:pPr>
                  <w:r>
                    <w:rPr>
                      <w:rFonts w:hint="eastAsia"/>
                      <w:color w:val="auto"/>
                    </w:rPr>
                    <w:t>二氧化硫</w:t>
                  </w:r>
                </w:p>
              </w:tc>
              <w:tc>
                <w:tcPr>
                  <w:tcW w:w="504" w:type="pct"/>
                  <w:tcBorders>
                    <w:tl2br w:val="nil"/>
                    <w:tr2bl w:val="nil"/>
                  </w:tcBorders>
                  <w:vAlign w:val="center"/>
                </w:tcPr>
                <w:p w14:paraId="1DF690A2">
                  <w:pPr>
                    <w:pStyle w:val="33"/>
                    <w:rPr>
                      <w:rFonts w:hint="default" w:eastAsia="宋体"/>
                      <w:color w:val="auto"/>
                      <w:lang w:val="en-US" w:eastAsia="zh-CN"/>
                    </w:rPr>
                  </w:pPr>
                  <w:r>
                    <w:rPr>
                      <w:rFonts w:hint="eastAsia"/>
                      <w:color w:val="auto"/>
                      <w:lang w:val="en-US" w:eastAsia="zh-CN"/>
                    </w:rPr>
                    <w:t>0.0116</w:t>
                  </w:r>
                </w:p>
              </w:tc>
              <w:tc>
                <w:tcPr>
                  <w:tcW w:w="476" w:type="pct"/>
                  <w:tcBorders>
                    <w:tl2br w:val="nil"/>
                    <w:tr2bl w:val="nil"/>
                  </w:tcBorders>
                  <w:vAlign w:val="center"/>
                </w:tcPr>
                <w:p w14:paraId="17176A1A">
                  <w:pPr>
                    <w:pStyle w:val="33"/>
                    <w:rPr>
                      <w:rFonts w:hint="default" w:eastAsia="宋体"/>
                      <w:color w:val="auto"/>
                      <w:lang w:val="en-US" w:eastAsia="zh-CN"/>
                    </w:rPr>
                  </w:pPr>
                  <w:r>
                    <w:rPr>
                      <w:rFonts w:hint="eastAsia"/>
                      <w:color w:val="auto"/>
                      <w:lang w:val="en-US" w:eastAsia="zh-CN"/>
                    </w:rPr>
                    <w:t>0.0007</w:t>
                  </w:r>
                </w:p>
              </w:tc>
              <w:tc>
                <w:tcPr>
                  <w:tcW w:w="457" w:type="pct"/>
                  <w:tcBorders>
                    <w:tl2br w:val="nil"/>
                    <w:tr2bl w:val="nil"/>
                  </w:tcBorders>
                  <w:vAlign w:val="center"/>
                </w:tcPr>
                <w:p w14:paraId="784E135A">
                  <w:pPr>
                    <w:pStyle w:val="33"/>
                    <w:rPr>
                      <w:rFonts w:hint="default" w:eastAsia="宋体"/>
                      <w:color w:val="auto"/>
                      <w:lang w:val="en-US" w:eastAsia="zh-CN"/>
                    </w:rPr>
                  </w:pPr>
                  <w:r>
                    <w:rPr>
                      <w:rFonts w:hint="eastAsia"/>
                      <w:color w:val="auto"/>
                      <w:lang w:val="en-US" w:eastAsia="zh-CN"/>
                    </w:rPr>
                    <w:t>0.0003</w:t>
                  </w:r>
                </w:p>
              </w:tc>
              <w:tc>
                <w:tcPr>
                  <w:tcW w:w="611" w:type="pct"/>
                  <w:tcBorders>
                    <w:tl2br w:val="nil"/>
                    <w:tr2bl w:val="nil"/>
                  </w:tcBorders>
                  <w:vAlign w:val="center"/>
                </w:tcPr>
                <w:p w14:paraId="66494E77">
                  <w:pPr>
                    <w:pStyle w:val="33"/>
                    <w:rPr>
                      <w:rFonts w:hint="default" w:eastAsia="宋体"/>
                      <w:color w:val="auto"/>
                      <w:lang w:val="en-US" w:eastAsia="zh-CN"/>
                    </w:rPr>
                  </w:pPr>
                  <w:r>
                    <w:rPr>
                      <w:rFonts w:hint="eastAsia"/>
                      <w:color w:val="auto"/>
                      <w:lang w:val="en-US" w:eastAsia="zh-CN"/>
                    </w:rPr>
                    <w:t>0.0116</w:t>
                  </w:r>
                </w:p>
              </w:tc>
              <w:tc>
                <w:tcPr>
                  <w:tcW w:w="507" w:type="pct"/>
                  <w:tcBorders>
                    <w:tl2br w:val="nil"/>
                    <w:tr2bl w:val="nil"/>
                  </w:tcBorders>
                  <w:vAlign w:val="center"/>
                </w:tcPr>
                <w:p w14:paraId="2554254A">
                  <w:pPr>
                    <w:pStyle w:val="33"/>
                    <w:rPr>
                      <w:rFonts w:hint="default" w:eastAsia="宋体"/>
                      <w:color w:val="auto"/>
                      <w:lang w:val="en-US" w:eastAsia="zh-CN"/>
                    </w:rPr>
                  </w:pPr>
                  <w:r>
                    <w:rPr>
                      <w:rFonts w:hint="eastAsia"/>
                      <w:color w:val="auto"/>
                      <w:lang w:val="en-US" w:eastAsia="zh-CN"/>
                    </w:rPr>
                    <w:t>0.0007</w:t>
                  </w:r>
                </w:p>
              </w:tc>
              <w:tc>
                <w:tcPr>
                  <w:tcW w:w="437" w:type="pct"/>
                  <w:tcBorders>
                    <w:tl2br w:val="nil"/>
                    <w:tr2bl w:val="nil"/>
                  </w:tcBorders>
                  <w:vAlign w:val="center"/>
                </w:tcPr>
                <w:p w14:paraId="28275D9A">
                  <w:pPr>
                    <w:pStyle w:val="33"/>
                    <w:rPr>
                      <w:rFonts w:hint="default" w:eastAsia="宋体"/>
                      <w:color w:val="auto"/>
                      <w:lang w:val="en-US" w:eastAsia="zh-CN"/>
                    </w:rPr>
                  </w:pPr>
                  <w:r>
                    <w:rPr>
                      <w:rFonts w:hint="eastAsia"/>
                      <w:color w:val="auto"/>
                      <w:lang w:val="en-US" w:eastAsia="zh-CN"/>
                    </w:rPr>
                    <w:t>0.0003</w:t>
                  </w:r>
                </w:p>
              </w:tc>
              <w:tc>
                <w:tcPr>
                  <w:tcW w:w="909" w:type="pct"/>
                  <w:vMerge w:val="restart"/>
                  <w:tcBorders>
                    <w:tl2br w:val="nil"/>
                    <w:tr2bl w:val="nil"/>
                  </w:tcBorders>
                  <w:vAlign w:val="center"/>
                </w:tcPr>
                <w:p w14:paraId="093EAEFF">
                  <w:pPr>
                    <w:pStyle w:val="33"/>
                    <w:rPr>
                      <w:color w:val="auto"/>
                    </w:rPr>
                  </w:pPr>
                  <w:r>
                    <w:rPr>
                      <w:color w:val="auto"/>
                    </w:rPr>
                    <w:t>经集气罩收集后通过18 m高排气筒DA001排放，收集效率90%</w:t>
                  </w:r>
                </w:p>
              </w:tc>
            </w:tr>
            <w:tr w14:paraId="7DA6B8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4" w:type="pct"/>
                  <w:vMerge w:val="continue"/>
                  <w:tcBorders>
                    <w:tl2br w:val="nil"/>
                    <w:tr2bl w:val="nil"/>
                  </w:tcBorders>
                  <w:vAlign w:val="center"/>
                </w:tcPr>
                <w:p w14:paraId="6560710F">
                  <w:pPr>
                    <w:pStyle w:val="33"/>
                    <w:rPr>
                      <w:color w:val="auto"/>
                    </w:rPr>
                  </w:pPr>
                </w:p>
              </w:tc>
              <w:tc>
                <w:tcPr>
                  <w:tcW w:w="404" w:type="pct"/>
                  <w:vMerge w:val="continue"/>
                  <w:tcBorders>
                    <w:tl2br w:val="nil"/>
                    <w:tr2bl w:val="nil"/>
                  </w:tcBorders>
                  <w:vAlign w:val="center"/>
                </w:tcPr>
                <w:p w14:paraId="3FDE4070">
                  <w:pPr>
                    <w:pStyle w:val="33"/>
                    <w:rPr>
                      <w:color w:val="auto"/>
                    </w:rPr>
                  </w:pPr>
                </w:p>
              </w:tc>
              <w:tc>
                <w:tcPr>
                  <w:tcW w:w="396" w:type="pct"/>
                  <w:tcBorders>
                    <w:tl2br w:val="nil"/>
                    <w:tr2bl w:val="nil"/>
                  </w:tcBorders>
                  <w:vAlign w:val="center"/>
                </w:tcPr>
                <w:p w14:paraId="4C5AE96B">
                  <w:pPr>
                    <w:pStyle w:val="33"/>
                    <w:rPr>
                      <w:color w:val="auto"/>
                    </w:rPr>
                  </w:pPr>
                  <w:r>
                    <w:rPr>
                      <w:rFonts w:hint="eastAsia"/>
                      <w:color w:val="auto"/>
                    </w:rPr>
                    <w:t>氮氧化物</w:t>
                  </w:r>
                </w:p>
              </w:tc>
              <w:tc>
                <w:tcPr>
                  <w:tcW w:w="504" w:type="pct"/>
                  <w:tcBorders>
                    <w:tl2br w:val="nil"/>
                    <w:tr2bl w:val="nil"/>
                  </w:tcBorders>
                  <w:vAlign w:val="center"/>
                </w:tcPr>
                <w:p w14:paraId="56B99AD1">
                  <w:pPr>
                    <w:pStyle w:val="33"/>
                    <w:rPr>
                      <w:rFonts w:hint="default" w:eastAsia="宋体"/>
                      <w:color w:val="auto"/>
                      <w:lang w:val="en-US" w:eastAsia="zh-CN"/>
                    </w:rPr>
                  </w:pPr>
                  <w:r>
                    <w:rPr>
                      <w:rFonts w:hint="eastAsia"/>
                      <w:color w:val="auto"/>
                      <w:lang w:val="en-US" w:eastAsia="zh-CN"/>
                    </w:rPr>
                    <w:t>0.1085</w:t>
                  </w:r>
                </w:p>
              </w:tc>
              <w:tc>
                <w:tcPr>
                  <w:tcW w:w="476" w:type="pct"/>
                  <w:tcBorders>
                    <w:tl2br w:val="nil"/>
                    <w:tr2bl w:val="nil"/>
                  </w:tcBorders>
                  <w:vAlign w:val="center"/>
                </w:tcPr>
                <w:p w14:paraId="297521D0">
                  <w:pPr>
                    <w:pStyle w:val="33"/>
                    <w:rPr>
                      <w:rFonts w:hint="default" w:eastAsia="宋体"/>
                      <w:color w:val="auto"/>
                      <w:lang w:val="en-US" w:eastAsia="zh-CN"/>
                    </w:rPr>
                  </w:pPr>
                  <w:r>
                    <w:rPr>
                      <w:rFonts w:hint="eastAsia"/>
                      <w:color w:val="auto"/>
                      <w:lang w:val="en-US" w:eastAsia="zh-CN"/>
                    </w:rPr>
                    <w:t>0.0063</w:t>
                  </w:r>
                </w:p>
              </w:tc>
              <w:tc>
                <w:tcPr>
                  <w:tcW w:w="457" w:type="pct"/>
                  <w:tcBorders>
                    <w:tl2br w:val="nil"/>
                    <w:tr2bl w:val="nil"/>
                  </w:tcBorders>
                  <w:vAlign w:val="center"/>
                </w:tcPr>
                <w:p w14:paraId="0D9EF2E5">
                  <w:pPr>
                    <w:pStyle w:val="33"/>
                    <w:rPr>
                      <w:rFonts w:hint="default" w:eastAsia="宋体"/>
                      <w:color w:val="auto"/>
                      <w:lang w:val="en-US" w:eastAsia="zh-CN"/>
                    </w:rPr>
                  </w:pPr>
                  <w:r>
                    <w:rPr>
                      <w:rFonts w:hint="eastAsia"/>
                      <w:color w:val="auto"/>
                      <w:lang w:val="en-US" w:eastAsia="zh-CN"/>
                    </w:rPr>
                    <w:t>0.0027</w:t>
                  </w:r>
                </w:p>
              </w:tc>
              <w:tc>
                <w:tcPr>
                  <w:tcW w:w="611" w:type="pct"/>
                  <w:tcBorders>
                    <w:tl2br w:val="nil"/>
                    <w:tr2bl w:val="nil"/>
                  </w:tcBorders>
                  <w:vAlign w:val="center"/>
                </w:tcPr>
                <w:p w14:paraId="25D8F5DD">
                  <w:pPr>
                    <w:pStyle w:val="33"/>
                    <w:rPr>
                      <w:rFonts w:hint="default" w:eastAsia="宋体"/>
                      <w:color w:val="auto"/>
                      <w:lang w:val="en-US" w:eastAsia="zh-CN"/>
                    </w:rPr>
                  </w:pPr>
                  <w:r>
                    <w:rPr>
                      <w:rFonts w:hint="eastAsia"/>
                      <w:color w:val="auto"/>
                      <w:lang w:val="en-US" w:eastAsia="zh-CN"/>
                    </w:rPr>
                    <w:t>0.1085</w:t>
                  </w:r>
                </w:p>
              </w:tc>
              <w:tc>
                <w:tcPr>
                  <w:tcW w:w="507" w:type="pct"/>
                  <w:tcBorders>
                    <w:tl2br w:val="nil"/>
                    <w:tr2bl w:val="nil"/>
                  </w:tcBorders>
                  <w:vAlign w:val="center"/>
                </w:tcPr>
                <w:p w14:paraId="0F5CDB62">
                  <w:pPr>
                    <w:pStyle w:val="33"/>
                    <w:rPr>
                      <w:rFonts w:hint="default" w:eastAsia="宋体"/>
                      <w:color w:val="auto"/>
                      <w:lang w:val="en-US" w:eastAsia="zh-CN"/>
                    </w:rPr>
                  </w:pPr>
                  <w:r>
                    <w:rPr>
                      <w:rFonts w:hint="eastAsia"/>
                      <w:color w:val="auto"/>
                      <w:lang w:val="en-US" w:eastAsia="zh-CN"/>
                    </w:rPr>
                    <w:t>0.0063</w:t>
                  </w:r>
                </w:p>
              </w:tc>
              <w:tc>
                <w:tcPr>
                  <w:tcW w:w="437" w:type="pct"/>
                  <w:tcBorders>
                    <w:tl2br w:val="nil"/>
                    <w:tr2bl w:val="nil"/>
                  </w:tcBorders>
                  <w:vAlign w:val="center"/>
                </w:tcPr>
                <w:p w14:paraId="7858E5A3">
                  <w:pPr>
                    <w:pStyle w:val="33"/>
                    <w:rPr>
                      <w:rFonts w:hint="default" w:eastAsia="宋体"/>
                      <w:color w:val="auto"/>
                      <w:lang w:val="en-US" w:eastAsia="zh-CN"/>
                    </w:rPr>
                  </w:pPr>
                  <w:r>
                    <w:rPr>
                      <w:rFonts w:hint="eastAsia"/>
                      <w:color w:val="auto"/>
                      <w:lang w:val="en-US" w:eastAsia="zh-CN"/>
                    </w:rPr>
                    <w:t>0.0027</w:t>
                  </w:r>
                </w:p>
              </w:tc>
              <w:tc>
                <w:tcPr>
                  <w:tcW w:w="909" w:type="pct"/>
                  <w:vMerge w:val="continue"/>
                  <w:tcBorders>
                    <w:tl2br w:val="nil"/>
                    <w:tr2bl w:val="nil"/>
                  </w:tcBorders>
                  <w:vAlign w:val="center"/>
                </w:tcPr>
                <w:p w14:paraId="056E9069">
                  <w:pPr>
                    <w:pStyle w:val="33"/>
                    <w:rPr>
                      <w:color w:val="auto"/>
                    </w:rPr>
                  </w:pPr>
                </w:p>
              </w:tc>
            </w:tr>
            <w:tr w14:paraId="53768C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4" w:type="pct"/>
                  <w:vMerge w:val="continue"/>
                  <w:tcBorders>
                    <w:tl2br w:val="nil"/>
                    <w:tr2bl w:val="nil"/>
                  </w:tcBorders>
                  <w:vAlign w:val="center"/>
                </w:tcPr>
                <w:p w14:paraId="00099456">
                  <w:pPr>
                    <w:pStyle w:val="33"/>
                    <w:rPr>
                      <w:color w:val="auto"/>
                    </w:rPr>
                  </w:pPr>
                </w:p>
              </w:tc>
              <w:tc>
                <w:tcPr>
                  <w:tcW w:w="404" w:type="pct"/>
                  <w:vMerge w:val="continue"/>
                  <w:tcBorders>
                    <w:tl2br w:val="nil"/>
                    <w:tr2bl w:val="nil"/>
                  </w:tcBorders>
                  <w:vAlign w:val="center"/>
                </w:tcPr>
                <w:p w14:paraId="0A8C55ED">
                  <w:pPr>
                    <w:pStyle w:val="33"/>
                    <w:rPr>
                      <w:color w:val="auto"/>
                    </w:rPr>
                  </w:pPr>
                </w:p>
              </w:tc>
              <w:tc>
                <w:tcPr>
                  <w:tcW w:w="396" w:type="pct"/>
                  <w:tcBorders>
                    <w:tl2br w:val="nil"/>
                    <w:tr2bl w:val="nil"/>
                  </w:tcBorders>
                  <w:vAlign w:val="center"/>
                </w:tcPr>
                <w:p w14:paraId="44C91ECB">
                  <w:pPr>
                    <w:pStyle w:val="33"/>
                    <w:rPr>
                      <w:color w:val="auto"/>
                    </w:rPr>
                  </w:pPr>
                  <w:r>
                    <w:rPr>
                      <w:rFonts w:hint="eastAsia"/>
                      <w:color w:val="auto"/>
                    </w:rPr>
                    <w:t>颗粒物</w:t>
                  </w:r>
                </w:p>
              </w:tc>
              <w:tc>
                <w:tcPr>
                  <w:tcW w:w="504" w:type="pct"/>
                  <w:tcBorders>
                    <w:tl2br w:val="nil"/>
                    <w:tr2bl w:val="nil"/>
                  </w:tcBorders>
                  <w:vAlign w:val="center"/>
                </w:tcPr>
                <w:p w14:paraId="72AF33FE">
                  <w:pPr>
                    <w:pStyle w:val="33"/>
                    <w:rPr>
                      <w:rFonts w:hint="default" w:eastAsia="宋体"/>
                      <w:color w:val="auto"/>
                      <w:lang w:val="en-US" w:eastAsia="zh-CN"/>
                    </w:rPr>
                  </w:pPr>
                  <w:r>
                    <w:rPr>
                      <w:rFonts w:hint="eastAsia"/>
                      <w:color w:val="auto"/>
                      <w:lang w:val="en-US" w:eastAsia="zh-CN"/>
                    </w:rPr>
                    <w:t>0.0166</w:t>
                  </w:r>
                </w:p>
              </w:tc>
              <w:tc>
                <w:tcPr>
                  <w:tcW w:w="476" w:type="pct"/>
                  <w:tcBorders>
                    <w:tl2br w:val="nil"/>
                    <w:tr2bl w:val="nil"/>
                  </w:tcBorders>
                  <w:vAlign w:val="center"/>
                </w:tcPr>
                <w:p w14:paraId="466A94A1">
                  <w:pPr>
                    <w:pStyle w:val="33"/>
                    <w:rPr>
                      <w:rFonts w:hint="default" w:eastAsia="宋体"/>
                      <w:color w:val="auto"/>
                      <w:lang w:val="en-US" w:eastAsia="zh-CN"/>
                    </w:rPr>
                  </w:pPr>
                  <w:r>
                    <w:rPr>
                      <w:rFonts w:hint="eastAsia"/>
                      <w:color w:val="auto"/>
                      <w:lang w:val="en-US" w:eastAsia="zh-CN"/>
                    </w:rPr>
                    <w:t>0.0010</w:t>
                  </w:r>
                </w:p>
              </w:tc>
              <w:tc>
                <w:tcPr>
                  <w:tcW w:w="457" w:type="pct"/>
                  <w:tcBorders>
                    <w:tl2br w:val="nil"/>
                    <w:tr2bl w:val="nil"/>
                  </w:tcBorders>
                  <w:vAlign w:val="center"/>
                </w:tcPr>
                <w:p w14:paraId="01D4B9FC">
                  <w:pPr>
                    <w:pStyle w:val="33"/>
                    <w:rPr>
                      <w:rFonts w:hint="default" w:eastAsia="宋体"/>
                      <w:color w:val="auto"/>
                      <w:lang w:val="en-US" w:eastAsia="zh-CN"/>
                    </w:rPr>
                  </w:pPr>
                  <w:r>
                    <w:rPr>
                      <w:rFonts w:hint="eastAsia"/>
                      <w:color w:val="auto"/>
                      <w:lang w:val="en-US" w:eastAsia="zh-CN"/>
                    </w:rPr>
                    <w:t>0.0004</w:t>
                  </w:r>
                </w:p>
              </w:tc>
              <w:tc>
                <w:tcPr>
                  <w:tcW w:w="611" w:type="pct"/>
                  <w:tcBorders>
                    <w:tl2br w:val="nil"/>
                    <w:tr2bl w:val="nil"/>
                  </w:tcBorders>
                  <w:vAlign w:val="center"/>
                </w:tcPr>
                <w:p w14:paraId="58EFB5B0">
                  <w:pPr>
                    <w:pStyle w:val="33"/>
                    <w:rPr>
                      <w:rFonts w:hint="default" w:eastAsia="宋体"/>
                      <w:color w:val="auto"/>
                      <w:lang w:val="en-US" w:eastAsia="zh-CN"/>
                    </w:rPr>
                  </w:pPr>
                  <w:r>
                    <w:rPr>
                      <w:rFonts w:hint="eastAsia"/>
                      <w:color w:val="auto"/>
                      <w:lang w:val="en-US" w:eastAsia="zh-CN"/>
                    </w:rPr>
                    <w:t>0.0166</w:t>
                  </w:r>
                </w:p>
              </w:tc>
              <w:tc>
                <w:tcPr>
                  <w:tcW w:w="507" w:type="pct"/>
                  <w:tcBorders>
                    <w:tl2br w:val="nil"/>
                    <w:tr2bl w:val="nil"/>
                  </w:tcBorders>
                  <w:vAlign w:val="center"/>
                </w:tcPr>
                <w:p w14:paraId="7F1A032B">
                  <w:pPr>
                    <w:pStyle w:val="33"/>
                    <w:rPr>
                      <w:rFonts w:hint="default" w:eastAsia="宋体"/>
                      <w:color w:val="auto"/>
                      <w:lang w:val="en-US" w:eastAsia="zh-CN"/>
                    </w:rPr>
                  </w:pPr>
                  <w:r>
                    <w:rPr>
                      <w:rFonts w:hint="eastAsia"/>
                      <w:color w:val="auto"/>
                      <w:lang w:val="en-US" w:eastAsia="zh-CN"/>
                    </w:rPr>
                    <w:t>0.0010</w:t>
                  </w:r>
                </w:p>
              </w:tc>
              <w:tc>
                <w:tcPr>
                  <w:tcW w:w="437" w:type="pct"/>
                  <w:tcBorders>
                    <w:tl2br w:val="nil"/>
                    <w:tr2bl w:val="nil"/>
                  </w:tcBorders>
                  <w:vAlign w:val="center"/>
                </w:tcPr>
                <w:p w14:paraId="23F87E7C">
                  <w:pPr>
                    <w:pStyle w:val="33"/>
                    <w:rPr>
                      <w:rFonts w:hint="default" w:eastAsia="宋体"/>
                      <w:color w:val="auto"/>
                      <w:lang w:val="en-US" w:eastAsia="zh-CN"/>
                    </w:rPr>
                  </w:pPr>
                  <w:r>
                    <w:rPr>
                      <w:rFonts w:hint="eastAsia"/>
                      <w:color w:val="auto"/>
                      <w:lang w:val="en-US" w:eastAsia="zh-CN"/>
                    </w:rPr>
                    <w:t>0.0004</w:t>
                  </w:r>
                </w:p>
              </w:tc>
              <w:tc>
                <w:tcPr>
                  <w:tcW w:w="909" w:type="pct"/>
                  <w:vMerge w:val="continue"/>
                  <w:tcBorders>
                    <w:tl2br w:val="nil"/>
                    <w:tr2bl w:val="nil"/>
                  </w:tcBorders>
                  <w:vAlign w:val="center"/>
                </w:tcPr>
                <w:p w14:paraId="0F192A40">
                  <w:pPr>
                    <w:pStyle w:val="33"/>
                    <w:rPr>
                      <w:color w:val="auto"/>
                    </w:rPr>
                  </w:pPr>
                </w:p>
              </w:tc>
            </w:tr>
            <w:tr w14:paraId="51FEA4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4" w:type="pct"/>
                  <w:vMerge w:val="continue"/>
                  <w:tcBorders>
                    <w:tl2br w:val="nil"/>
                    <w:tr2bl w:val="nil"/>
                  </w:tcBorders>
                  <w:vAlign w:val="center"/>
                </w:tcPr>
                <w:p w14:paraId="05F8EDA2">
                  <w:pPr>
                    <w:pStyle w:val="33"/>
                    <w:rPr>
                      <w:color w:val="auto"/>
                    </w:rPr>
                  </w:pPr>
                </w:p>
              </w:tc>
              <w:tc>
                <w:tcPr>
                  <w:tcW w:w="404" w:type="pct"/>
                  <w:tcBorders>
                    <w:tl2br w:val="nil"/>
                    <w:tr2bl w:val="nil"/>
                  </w:tcBorders>
                  <w:vAlign w:val="center"/>
                </w:tcPr>
                <w:p w14:paraId="39C11F3E">
                  <w:pPr>
                    <w:pStyle w:val="33"/>
                    <w:rPr>
                      <w:color w:val="auto"/>
                    </w:rPr>
                  </w:pPr>
                  <w:r>
                    <w:rPr>
                      <w:rFonts w:hint="eastAsia"/>
                      <w:color w:val="auto"/>
                    </w:rPr>
                    <w:t>熟制、炒制油烟</w:t>
                  </w:r>
                </w:p>
              </w:tc>
              <w:tc>
                <w:tcPr>
                  <w:tcW w:w="396" w:type="pct"/>
                  <w:tcBorders>
                    <w:tl2br w:val="nil"/>
                    <w:tr2bl w:val="nil"/>
                  </w:tcBorders>
                  <w:vAlign w:val="center"/>
                </w:tcPr>
                <w:p w14:paraId="40D85AA0">
                  <w:pPr>
                    <w:pStyle w:val="33"/>
                    <w:rPr>
                      <w:color w:val="auto"/>
                    </w:rPr>
                  </w:pPr>
                  <w:r>
                    <w:rPr>
                      <w:rFonts w:hint="eastAsia"/>
                      <w:color w:val="auto"/>
                    </w:rPr>
                    <w:t>油烟</w:t>
                  </w:r>
                </w:p>
              </w:tc>
              <w:tc>
                <w:tcPr>
                  <w:tcW w:w="504" w:type="pct"/>
                  <w:tcBorders>
                    <w:tl2br w:val="nil"/>
                    <w:tr2bl w:val="nil"/>
                  </w:tcBorders>
                  <w:vAlign w:val="center"/>
                </w:tcPr>
                <w:p w14:paraId="47198271">
                  <w:pPr>
                    <w:pStyle w:val="33"/>
                    <w:rPr>
                      <w:rFonts w:hint="default" w:eastAsia="宋体"/>
                      <w:color w:val="auto"/>
                      <w:lang w:val="en-US" w:eastAsia="zh-CN"/>
                    </w:rPr>
                  </w:pPr>
                  <w:r>
                    <w:rPr>
                      <w:rFonts w:hint="eastAsia"/>
                      <w:color w:val="auto"/>
                      <w:lang w:val="en-US" w:eastAsia="zh-CN"/>
                    </w:rPr>
                    <w:t>4.004</w:t>
                  </w:r>
                </w:p>
              </w:tc>
              <w:tc>
                <w:tcPr>
                  <w:tcW w:w="476" w:type="pct"/>
                  <w:tcBorders>
                    <w:tl2br w:val="nil"/>
                    <w:tr2bl w:val="nil"/>
                  </w:tcBorders>
                  <w:vAlign w:val="center"/>
                </w:tcPr>
                <w:p w14:paraId="38AE0C7B">
                  <w:pPr>
                    <w:pStyle w:val="33"/>
                    <w:rPr>
                      <w:rFonts w:hint="default" w:eastAsia="宋体"/>
                      <w:color w:val="auto"/>
                      <w:lang w:val="en-US" w:eastAsia="zh-CN"/>
                    </w:rPr>
                  </w:pPr>
                  <w:r>
                    <w:rPr>
                      <w:rFonts w:hint="eastAsia"/>
                      <w:color w:val="auto"/>
                      <w:lang w:val="en-US" w:eastAsia="zh-CN"/>
                    </w:rPr>
                    <w:t>0.2322</w:t>
                  </w:r>
                </w:p>
              </w:tc>
              <w:tc>
                <w:tcPr>
                  <w:tcW w:w="457" w:type="pct"/>
                  <w:tcBorders>
                    <w:tl2br w:val="nil"/>
                    <w:tr2bl w:val="nil"/>
                  </w:tcBorders>
                  <w:vAlign w:val="center"/>
                </w:tcPr>
                <w:p w14:paraId="0821A5F3">
                  <w:pPr>
                    <w:pStyle w:val="33"/>
                    <w:rPr>
                      <w:rFonts w:hint="default" w:eastAsia="宋体"/>
                      <w:color w:val="auto"/>
                      <w:lang w:val="en-US" w:eastAsia="zh-CN"/>
                    </w:rPr>
                  </w:pPr>
                  <w:r>
                    <w:rPr>
                      <w:rFonts w:hint="eastAsia"/>
                      <w:color w:val="auto"/>
                      <w:lang w:val="en-US" w:eastAsia="zh-CN"/>
                    </w:rPr>
                    <w:t>0.1001</w:t>
                  </w:r>
                </w:p>
              </w:tc>
              <w:tc>
                <w:tcPr>
                  <w:tcW w:w="611" w:type="pct"/>
                  <w:tcBorders>
                    <w:tl2br w:val="nil"/>
                    <w:tr2bl w:val="nil"/>
                  </w:tcBorders>
                  <w:vAlign w:val="center"/>
                </w:tcPr>
                <w:p w14:paraId="0DE817E6">
                  <w:pPr>
                    <w:pStyle w:val="33"/>
                    <w:rPr>
                      <w:rFonts w:hint="default" w:eastAsia="宋体"/>
                      <w:color w:val="auto"/>
                      <w:lang w:val="en-US" w:eastAsia="zh-CN"/>
                    </w:rPr>
                  </w:pPr>
                  <w:r>
                    <w:rPr>
                      <w:rFonts w:hint="eastAsia"/>
                      <w:color w:val="auto"/>
                      <w:lang w:val="en-US" w:eastAsia="zh-CN"/>
                    </w:rPr>
                    <w:t>0.20</w:t>
                  </w:r>
                </w:p>
              </w:tc>
              <w:tc>
                <w:tcPr>
                  <w:tcW w:w="507" w:type="pct"/>
                  <w:tcBorders>
                    <w:tl2br w:val="nil"/>
                    <w:tr2bl w:val="nil"/>
                  </w:tcBorders>
                  <w:vAlign w:val="center"/>
                </w:tcPr>
                <w:p w14:paraId="1BE98403">
                  <w:pPr>
                    <w:pStyle w:val="33"/>
                    <w:rPr>
                      <w:rFonts w:hint="default" w:eastAsia="宋体"/>
                      <w:color w:val="auto"/>
                      <w:lang w:val="en-US" w:eastAsia="zh-CN"/>
                    </w:rPr>
                  </w:pPr>
                  <w:r>
                    <w:rPr>
                      <w:rFonts w:hint="eastAsia"/>
                      <w:color w:val="auto"/>
                      <w:lang w:val="en-US" w:eastAsia="zh-CN"/>
                    </w:rPr>
                    <w:t>0.0116</w:t>
                  </w:r>
                </w:p>
              </w:tc>
              <w:tc>
                <w:tcPr>
                  <w:tcW w:w="437" w:type="pct"/>
                  <w:tcBorders>
                    <w:tl2br w:val="nil"/>
                    <w:tr2bl w:val="nil"/>
                  </w:tcBorders>
                  <w:vAlign w:val="center"/>
                </w:tcPr>
                <w:p w14:paraId="687A1611">
                  <w:pPr>
                    <w:pStyle w:val="33"/>
                    <w:rPr>
                      <w:rFonts w:hint="default" w:eastAsia="宋体"/>
                      <w:color w:val="auto"/>
                      <w:lang w:val="en-US" w:eastAsia="zh-CN"/>
                    </w:rPr>
                  </w:pPr>
                  <w:r>
                    <w:rPr>
                      <w:rFonts w:hint="eastAsia"/>
                      <w:color w:val="auto"/>
                      <w:lang w:val="en-US" w:eastAsia="zh-CN"/>
                    </w:rPr>
                    <w:t>0.005</w:t>
                  </w:r>
                </w:p>
              </w:tc>
              <w:tc>
                <w:tcPr>
                  <w:tcW w:w="909" w:type="pct"/>
                  <w:tcBorders>
                    <w:tl2br w:val="nil"/>
                    <w:tr2bl w:val="nil"/>
                  </w:tcBorders>
                  <w:vAlign w:val="center"/>
                </w:tcPr>
                <w:p w14:paraId="2EAD861C">
                  <w:pPr>
                    <w:pStyle w:val="33"/>
                    <w:rPr>
                      <w:color w:val="auto"/>
                    </w:rPr>
                  </w:pPr>
                  <w:r>
                    <w:rPr>
                      <w:color w:val="auto"/>
                    </w:rPr>
                    <w:t>集气罩收集后经油烟净化设施处理，通过DA001排放；收集效率90%，净化效率95%</w:t>
                  </w:r>
                </w:p>
              </w:tc>
            </w:tr>
            <w:tr w14:paraId="06D0DC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4" w:type="pct"/>
                  <w:vMerge w:val="restart"/>
                  <w:tcBorders>
                    <w:tl2br w:val="nil"/>
                    <w:tr2bl w:val="nil"/>
                  </w:tcBorders>
                  <w:vAlign w:val="center"/>
                </w:tcPr>
                <w:p w14:paraId="30F13C44">
                  <w:pPr>
                    <w:pStyle w:val="33"/>
                    <w:rPr>
                      <w:rFonts w:hint="eastAsia" w:eastAsia="宋体"/>
                      <w:color w:val="auto"/>
                      <w:lang w:val="en-US" w:eastAsia="zh-CN"/>
                    </w:rPr>
                  </w:pPr>
                  <w:r>
                    <w:rPr>
                      <w:rFonts w:hint="eastAsia"/>
                      <w:color w:val="auto"/>
                      <w:lang w:val="en-US" w:eastAsia="zh-CN"/>
                    </w:rPr>
                    <w:t>无组织</w:t>
                  </w:r>
                </w:p>
              </w:tc>
              <w:tc>
                <w:tcPr>
                  <w:tcW w:w="404" w:type="pct"/>
                  <w:vMerge w:val="restart"/>
                  <w:tcBorders>
                    <w:tl2br w:val="nil"/>
                    <w:tr2bl w:val="nil"/>
                  </w:tcBorders>
                  <w:shd w:val="clear" w:color="auto" w:fill="auto"/>
                  <w:vAlign w:val="center"/>
                </w:tcPr>
                <w:p w14:paraId="6B9B1098">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rPr>
                    <w:t>天然气燃烧废气</w:t>
                  </w:r>
                </w:p>
              </w:tc>
              <w:tc>
                <w:tcPr>
                  <w:tcW w:w="396" w:type="pct"/>
                  <w:tcBorders>
                    <w:tl2br w:val="nil"/>
                    <w:tr2bl w:val="nil"/>
                  </w:tcBorders>
                  <w:shd w:val="clear" w:color="auto" w:fill="auto"/>
                  <w:vAlign w:val="center"/>
                </w:tcPr>
                <w:p w14:paraId="35F852D1">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rPr>
                    <w:t>二氧化硫</w:t>
                  </w:r>
                </w:p>
              </w:tc>
              <w:tc>
                <w:tcPr>
                  <w:tcW w:w="504" w:type="pct"/>
                  <w:tcBorders>
                    <w:tl2br w:val="nil"/>
                    <w:tr2bl w:val="nil"/>
                  </w:tcBorders>
                  <w:shd w:val="clear" w:color="auto" w:fill="auto"/>
                  <w:vAlign w:val="center"/>
                </w:tcPr>
                <w:p w14:paraId="194EF325">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lang w:eastAsia="zh-CN"/>
                    </w:rPr>
                    <w:t>/</w:t>
                  </w:r>
                </w:p>
              </w:tc>
              <w:tc>
                <w:tcPr>
                  <w:tcW w:w="476" w:type="pct"/>
                  <w:tcBorders>
                    <w:tl2br w:val="nil"/>
                    <w:tr2bl w:val="nil"/>
                  </w:tcBorders>
                  <w:shd w:val="clear" w:color="auto" w:fill="auto"/>
                  <w:vAlign w:val="center"/>
                </w:tcPr>
                <w:p w14:paraId="32911B00">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0.0001</w:t>
                  </w:r>
                </w:p>
              </w:tc>
              <w:tc>
                <w:tcPr>
                  <w:tcW w:w="457" w:type="pct"/>
                  <w:tcBorders>
                    <w:tl2br w:val="nil"/>
                    <w:tr2bl w:val="nil"/>
                  </w:tcBorders>
                  <w:shd w:val="clear" w:color="auto" w:fill="auto"/>
                  <w:vAlign w:val="center"/>
                </w:tcPr>
                <w:p w14:paraId="5CE2A5B4">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0.0001</w:t>
                  </w:r>
                </w:p>
              </w:tc>
              <w:tc>
                <w:tcPr>
                  <w:tcW w:w="611" w:type="pct"/>
                  <w:tcBorders>
                    <w:tl2br w:val="nil"/>
                    <w:tr2bl w:val="nil"/>
                  </w:tcBorders>
                  <w:shd w:val="clear" w:color="auto" w:fill="auto"/>
                  <w:vAlign w:val="center"/>
                </w:tcPr>
                <w:p w14:paraId="2C500BFB">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w:t>
                  </w:r>
                </w:p>
              </w:tc>
              <w:tc>
                <w:tcPr>
                  <w:tcW w:w="507" w:type="pct"/>
                  <w:tcBorders>
                    <w:tl2br w:val="nil"/>
                    <w:tr2bl w:val="nil"/>
                  </w:tcBorders>
                  <w:shd w:val="clear" w:color="auto" w:fill="auto"/>
                  <w:vAlign w:val="center"/>
                </w:tcPr>
                <w:p w14:paraId="7E61F832">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0.0001</w:t>
                  </w:r>
                </w:p>
              </w:tc>
              <w:tc>
                <w:tcPr>
                  <w:tcW w:w="437" w:type="pct"/>
                  <w:tcBorders>
                    <w:tl2br w:val="nil"/>
                    <w:tr2bl w:val="nil"/>
                  </w:tcBorders>
                  <w:shd w:val="clear" w:color="auto" w:fill="auto"/>
                  <w:vAlign w:val="center"/>
                </w:tcPr>
                <w:p w14:paraId="3116CCA9">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＜0.0001</w:t>
                  </w:r>
                </w:p>
              </w:tc>
              <w:tc>
                <w:tcPr>
                  <w:tcW w:w="909" w:type="pct"/>
                  <w:vMerge w:val="restart"/>
                  <w:tcBorders>
                    <w:tl2br w:val="nil"/>
                    <w:tr2bl w:val="nil"/>
                  </w:tcBorders>
                  <w:shd w:val="clear" w:color="auto" w:fill="auto"/>
                  <w:vAlign w:val="center"/>
                </w:tcPr>
                <w:p w14:paraId="27C4A9BD">
                  <w:pPr>
                    <w:pStyle w:val="33"/>
                    <w:ind w:firstLine="0" w:firstLineChars="0"/>
                    <w:rPr>
                      <w:rFonts w:ascii="Times New Roman" w:hAnsi="Times New Roman" w:eastAsia="宋体" w:cs="Times New Roman"/>
                      <w:color w:val="auto"/>
                      <w:kern w:val="0"/>
                      <w:sz w:val="21"/>
                      <w:szCs w:val="21"/>
                      <w:lang w:val="en-US" w:eastAsia="zh-CN" w:bidi="ar-SA"/>
                    </w:rPr>
                  </w:pPr>
                  <w:r>
                    <w:rPr>
                      <w:color w:val="auto"/>
                    </w:rPr>
                    <w:t>未收集部分在熟制间无组织排放，加强车间通风</w:t>
                  </w:r>
                </w:p>
              </w:tc>
            </w:tr>
            <w:tr w14:paraId="19D091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4" w:type="pct"/>
                  <w:vMerge w:val="continue"/>
                  <w:tcBorders>
                    <w:tl2br w:val="nil"/>
                    <w:tr2bl w:val="nil"/>
                  </w:tcBorders>
                  <w:vAlign w:val="center"/>
                </w:tcPr>
                <w:p w14:paraId="6F88C3A7">
                  <w:pPr>
                    <w:pStyle w:val="33"/>
                    <w:rPr>
                      <w:color w:val="auto"/>
                    </w:rPr>
                  </w:pPr>
                </w:p>
              </w:tc>
              <w:tc>
                <w:tcPr>
                  <w:tcW w:w="404" w:type="pct"/>
                  <w:vMerge w:val="continue"/>
                  <w:tcBorders>
                    <w:tl2br w:val="nil"/>
                    <w:tr2bl w:val="nil"/>
                  </w:tcBorders>
                  <w:vAlign w:val="center"/>
                </w:tcPr>
                <w:p w14:paraId="31A8A9AC">
                  <w:pPr>
                    <w:pStyle w:val="33"/>
                    <w:rPr>
                      <w:rFonts w:hint="eastAsia"/>
                      <w:color w:val="auto"/>
                    </w:rPr>
                  </w:pPr>
                </w:p>
              </w:tc>
              <w:tc>
                <w:tcPr>
                  <w:tcW w:w="396" w:type="pct"/>
                  <w:tcBorders>
                    <w:tl2br w:val="nil"/>
                    <w:tr2bl w:val="nil"/>
                  </w:tcBorders>
                  <w:shd w:val="clear" w:color="auto" w:fill="auto"/>
                  <w:vAlign w:val="center"/>
                </w:tcPr>
                <w:p w14:paraId="11D193AE">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rPr>
                    <w:t>氮氧化物</w:t>
                  </w:r>
                </w:p>
              </w:tc>
              <w:tc>
                <w:tcPr>
                  <w:tcW w:w="504" w:type="pct"/>
                  <w:tcBorders>
                    <w:tl2br w:val="nil"/>
                    <w:tr2bl w:val="nil"/>
                  </w:tcBorders>
                  <w:shd w:val="clear" w:color="auto" w:fill="auto"/>
                  <w:vAlign w:val="center"/>
                </w:tcPr>
                <w:p w14:paraId="2058E67B">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w:t>
                  </w:r>
                </w:p>
              </w:tc>
              <w:tc>
                <w:tcPr>
                  <w:tcW w:w="476" w:type="pct"/>
                  <w:tcBorders>
                    <w:tl2br w:val="nil"/>
                    <w:tr2bl w:val="nil"/>
                  </w:tcBorders>
                  <w:shd w:val="clear" w:color="auto" w:fill="auto"/>
                  <w:vAlign w:val="center"/>
                </w:tcPr>
                <w:p w14:paraId="49C20740">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0.0007</w:t>
                  </w:r>
                </w:p>
              </w:tc>
              <w:tc>
                <w:tcPr>
                  <w:tcW w:w="457" w:type="pct"/>
                  <w:tcBorders>
                    <w:tl2br w:val="nil"/>
                    <w:tr2bl w:val="nil"/>
                  </w:tcBorders>
                  <w:shd w:val="clear" w:color="auto" w:fill="auto"/>
                  <w:vAlign w:val="center"/>
                </w:tcPr>
                <w:p w14:paraId="59C75C3B">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0.0003</w:t>
                  </w:r>
                </w:p>
              </w:tc>
              <w:tc>
                <w:tcPr>
                  <w:tcW w:w="611" w:type="pct"/>
                  <w:tcBorders>
                    <w:tl2br w:val="nil"/>
                    <w:tr2bl w:val="nil"/>
                  </w:tcBorders>
                  <w:shd w:val="clear" w:color="auto" w:fill="auto"/>
                  <w:vAlign w:val="center"/>
                </w:tcPr>
                <w:p w14:paraId="4B805051">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w:t>
                  </w:r>
                </w:p>
              </w:tc>
              <w:tc>
                <w:tcPr>
                  <w:tcW w:w="507" w:type="pct"/>
                  <w:tcBorders>
                    <w:tl2br w:val="nil"/>
                    <w:tr2bl w:val="nil"/>
                  </w:tcBorders>
                  <w:shd w:val="clear" w:color="auto" w:fill="auto"/>
                  <w:vAlign w:val="center"/>
                </w:tcPr>
                <w:p w14:paraId="5CFFC969">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0.0007</w:t>
                  </w:r>
                </w:p>
              </w:tc>
              <w:tc>
                <w:tcPr>
                  <w:tcW w:w="437" w:type="pct"/>
                  <w:tcBorders>
                    <w:tl2br w:val="nil"/>
                    <w:tr2bl w:val="nil"/>
                  </w:tcBorders>
                  <w:shd w:val="clear" w:color="auto" w:fill="auto"/>
                  <w:vAlign w:val="center"/>
                </w:tcPr>
                <w:p w14:paraId="076FE9C3">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0.0003</w:t>
                  </w:r>
                </w:p>
              </w:tc>
              <w:tc>
                <w:tcPr>
                  <w:tcW w:w="909" w:type="pct"/>
                  <w:vMerge w:val="continue"/>
                  <w:tcBorders>
                    <w:tl2br w:val="nil"/>
                    <w:tr2bl w:val="nil"/>
                  </w:tcBorders>
                  <w:vAlign w:val="center"/>
                </w:tcPr>
                <w:p w14:paraId="1B686281">
                  <w:pPr>
                    <w:pStyle w:val="33"/>
                    <w:rPr>
                      <w:color w:val="auto"/>
                    </w:rPr>
                  </w:pPr>
                </w:p>
              </w:tc>
            </w:tr>
            <w:tr w14:paraId="7618DF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4" w:type="pct"/>
                  <w:vMerge w:val="continue"/>
                  <w:tcBorders>
                    <w:tl2br w:val="nil"/>
                    <w:tr2bl w:val="nil"/>
                  </w:tcBorders>
                  <w:vAlign w:val="center"/>
                </w:tcPr>
                <w:p w14:paraId="1F9E4028">
                  <w:pPr>
                    <w:pStyle w:val="33"/>
                    <w:rPr>
                      <w:color w:val="auto"/>
                    </w:rPr>
                  </w:pPr>
                </w:p>
              </w:tc>
              <w:tc>
                <w:tcPr>
                  <w:tcW w:w="404" w:type="pct"/>
                  <w:vMerge w:val="continue"/>
                  <w:tcBorders>
                    <w:tl2br w:val="nil"/>
                    <w:tr2bl w:val="nil"/>
                  </w:tcBorders>
                  <w:vAlign w:val="center"/>
                </w:tcPr>
                <w:p w14:paraId="06E78F76">
                  <w:pPr>
                    <w:pStyle w:val="33"/>
                    <w:rPr>
                      <w:rFonts w:hint="eastAsia"/>
                      <w:color w:val="auto"/>
                    </w:rPr>
                  </w:pPr>
                </w:p>
              </w:tc>
              <w:tc>
                <w:tcPr>
                  <w:tcW w:w="396" w:type="pct"/>
                  <w:tcBorders>
                    <w:tl2br w:val="nil"/>
                    <w:tr2bl w:val="nil"/>
                  </w:tcBorders>
                  <w:shd w:val="clear" w:color="auto" w:fill="auto"/>
                  <w:vAlign w:val="center"/>
                </w:tcPr>
                <w:p w14:paraId="791301F7">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rPr>
                    <w:t>颗粒物</w:t>
                  </w:r>
                </w:p>
              </w:tc>
              <w:tc>
                <w:tcPr>
                  <w:tcW w:w="504" w:type="pct"/>
                  <w:tcBorders>
                    <w:tl2br w:val="nil"/>
                    <w:tr2bl w:val="nil"/>
                  </w:tcBorders>
                  <w:shd w:val="clear" w:color="auto" w:fill="auto"/>
                  <w:vAlign w:val="center"/>
                </w:tcPr>
                <w:p w14:paraId="2F32C666">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w:t>
                  </w:r>
                </w:p>
              </w:tc>
              <w:tc>
                <w:tcPr>
                  <w:tcW w:w="476" w:type="pct"/>
                  <w:tcBorders>
                    <w:tl2br w:val="nil"/>
                    <w:tr2bl w:val="nil"/>
                  </w:tcBorders>
                  <w:shd w:val="clear" w:color="auto" w:fill="auto"/>
                  <w:vAlign w:val="center"/>
                </w:tcPr>
                <w:p w14:paraId="4D45F7C2">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0.0001</w:t>
                  </w:r>
                </w:p>
              </w:tc>
              <w:tc>
                <w:tcPr>
                  <w:tcW w:w="457" w:type="pct"/>
                  <w:tcBorders>
                    <w:tl2br w:val="nil"/>
                    <w:tr2bl w:val="nil"/>
                  </w:tcBorders>
                  <w:shd w:val="clear" w:color="auto" w:fill="auto"/>
                  <w:vAlign w:val="center"/>
                </w:tcPr>
                <w:p w14:paraId="69917D8A">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＜0.0001</w:t>
                  </w:r>
                </w:p>
              </w:tc>
              <w:tc>
                <w:tcPr>
                  <w:tcW w:w="611" w:type="pct"/>
                  <w:tcBorders>
                    <w:tl2br w:val="nil"/>
                    <w:tr2bl w:val="nil"/>
                  </w:tcBorders>
                  <w:shd w:val="clear" w:color="auto" w:fill="auto"/>
                  <w:vAlign w:val="center"/>
                </w:tcPr>
                <w:p w14:paraId="1E5A7DFE">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w:t>
                  </w:r>
                </w:p>
              </w:tc>
              <w:tc>
                <w:tcPr>
                  <w:tcW w:w="507" w:type="pct"/>
                  <w:tcBorders>
                    <w:tl2br w:val="nil"/>
                    <w:tr2bl w:val="nil"/>
                  </w:tcBorders>
                  <w:shd w:val="clear" w:color="auto" w:fill="auto"/>
                  <w:vAlign w:val="center"/>
                </w:tcPr>
                <w:p w14:paraId="51FA06F7">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0.0001</w:t>
                  </w:r>
                </w:p>
              </w:tc>
              <w:tc>
                <w:tcPr>
                  <w:tcW w:w="437" w:type="pct"/>
                  <w:tcBorders>
                    <w:tl2br w:val="nil"/>
                    <w:tr2bl w:val="nil"/>
                  </w:tcBorders>
                  <w:shd w:val="clear" w:color="auto" w:fill="auto"/>
                  <w:vAlign w:val="center"/>
                </w:tcPr>
                <w:p w14:paraId="60936C8E">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＜0.0001</w:t>
                  </w:r>
                </w:p>
              </w:tc>
              <w:tc>
                <w:tcPr>
                  <w:tcW w:w="909" w:type="pct"/>
                  <w:vMerge w:val="continue"/>
                  <w:tcBorders>
                    <w:tl2br w:val="nil"/>
                    <w:tr2bl w:val="nil"/>
                  </w:tcBorders>
                  <w:vAlign w:val="center"/>
                </w:tcPr>
                <w:p w14:paraId="43A9F3D1">
                  <w:pPr>
                    <w:pStyle w:val="33"/>
                    <w:rPr>
                      <w:color w:val="auto"/>
                    </w:rPr>
                  </w:pPr>
                </w:p>
              </w:tc>
            </w:tr>
            <w:tr w14:paraId="11AF83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4" w:type="pct"/>
                  <w:vMerge w:val="continue"/>
                  <w:tcBorders>
                    <w:tl2br w:val="nil"/>
                    <w:tr2bl w:val="nil"/>
                  </w:tcBorders>
                  <w:vAlign w:val="center"/>
                </w:tcPr>
                <w:p w14:paraId="1FB1E53A">
                  <w:pPr>
                    <w:pStyle w:val="33"/>
                    <w:rPr>
                      <w:color w:val="auto"/>
                    </w:rPr>
                  </w:pPr>
                </w:p>
              </w:tc>
              <w:tc>
                <w:tcPr>
                  <w:tcW w:w="404" w:type="pct"/>
                  <w:tcBorders>
                    <w:tl2br w:val="nil"/>
                    <w:tr2bl w:val="nil"/>
                  </w:tcBorders>
                  <w:shd w:val="clear" w:color="auto" w:fill="auto"/>
                  <w:vAlign w:val="center"/>
                </w:tcPr>
                <w:p w14:paraId="152C64D6">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rPr>
                    <w:t>熟制、炒制油烟</w:t>
                  </w:r>
                </w:p>
              </w:tc>
              <w:tc>
                <w:tcPr>
                  <w:tcW w:w="396" w:type="pct"/>
                  <w:tcBorders>
                    <w:tl2br w:val="nil"/>
                    <w:tr2bl w:val="nil"/>
                  </w:tcBorders>
                  <w:shd w:val="clear" w:color="auto" w:fill="auto"/>
                  <w:vAlign w:val="center"/>
                </w:tcPr>
                <w:p w14:paraId="7EE80894">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rPr>
                    <w:t>油烟</w:t>
                  </w:r>
                </w:p>
              </w:tc>
              <w:tc>
                <w:tcPr>
                  <w:tcW w:w="504" w:type="pct"/>
                  <w:tcBorders>
                    <w:tl2br w:val="nil"/>
                    <w:tr2bl w:val="nil"/>
                  </w:tcBorders>
                  <w:shd w:val="clear" w:color="auto" w:fill="auto"/>
                  <w:vAlign w:val="center"/>
                </w:tcPr>
                <w:p w14:paraId="7CE3C455">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w:t>
                  </w:r>
                </w:p>
              </w:tc>
              <w:tc>
                <w:tcPr>
                  <w:tcW w:w="476" w:type="pct"/>
                  <w:tcBorders>
                    <w:tl2br w:val="nil"/>
                    <w:tr2bl w:val="nil"/>
                  </w:tcBorders>
                  <w:shd w:val="clear" w:color="auto" w:fill="auto"/>
                  <w:vAlign w:val="center"/>
                </w:tcPr>
                <w:p w14:paraId="7DB9CD43">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0.0258</w:t>
                  </w:r>
                </w:p>
              </w:tc>
              <w:tc>
                <w:tcPr>
                  <w:tcW w:w="457" w:type="pct"/>
                  <w:tcBorders>
                    <w:tl2br w:val="nil"/>
                    <w:tr2bl w:val="nil"/>
                  </w:tcBorders>
                  <w:shd w:val="clear" w:color="auto" w:fill="auto"/>
                  <w:vAlign w:val="center"/>
                </w:tcPr>
                <w:p w14:paraId="10AB6C36">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0.0111</w:t>
                  </w:r>
                </w:p>
              </w:tc>
              <w:tc>
                <w:tcPr>
                  <w:tcW w:w="611" w:type="pct"/>
                  <w:tcBorders>
                    <w:tl2br w:val="nil"/>
                    <w:tr2bl w:val="nil"/>
                  </w:tcBorders>
                  <w:shd w:val="clear" w:color="auto" w:fill="auto"/>
                  <w:vAlign w:val="center"/>
                </w:tcPr>
                <w:p w14:paraId="54BFE2FC">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w:t>
                  </w:r>
                </w:p>
              </w:tc>
              <w:tc>
                <w:tcPr>
                  <w:tcW w:w="507" w:type="pct"/>
                  <w:tcBorders>
                    <w:tl2br w:val="nil"/>
                    <w:tr2bl w:val="nil"/>
                  </w:tcBorders>
                  <w:shd w:val="clear" w:color="auto" w:fill="auto"/>
                  <w:vAlign w:val="center"/>
                </w:tcPr>
                <w:p w14:paraId="506362E6">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0.0258</w:t>
                  </w:r>
                </w:p>
              </w:tc>
              <w:tc>
                <w:tcPr>
                  <w:tcW w:w="437" w:type="pct"/>
                  <w:tcBorders>
                    <w:tl2br w:val="nil"/>
                    <w:tr2bl w:val="nil"/>
                  </w:tcBorders>
                  <w:shd w:val="clear" w:color="auto" w:fill="auto"/>
                  <w:vAlign w:val="center"/>
                </w:tcPr>
                <w:p w14:paraId="395EDE24">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0.0111</w:t>
                  </w:r>
                </w:p>
              </w:tc>
              <w:tc>
                <w:tcPr>
                  <w:tcW w:w="909" w:type="pct"/>
                  <w:tcBorders>
                    <w:tl2br w:val="nil"/>
                    <w:tr2bl w:val="nil"/>
                  </w:tcBorders>
                  <w:shd w:val="clear" w:color="auto" w:fill="auto"/>
                  <w:vAlign w:val="center"/>
                </w:tcPr>
                <w:p w14:paraId="633E3CA8">
                  <w:pPr>
                    <w:pStyle w:val="33"/>
                    <w:ind w:firstLine="0" w:firstLineChars="0"/>
                    <w:rPr>
                      <w:rFonts w:ascii="Times New Roman" w:hAnsi="Times New Roman" w:eastAsia="宋体" w:cs="Times New Roman"/>
                      <w:color w:val="auto"/>
                      <w:kern w:val="0"/>
                      <w:sz w:val="21"/>
                      <w:szCs w:val="21"/>
                      <w:lang w:val="en-US" w:eastAsia="zh-CN" w:bidi="ar-SA"/>
                    </w:rPr>
                  </w:pPr>
                  <w:r>
                    <w:rPr>
                      <w:color w:val="auto"/>
                    </w:rPr>
                    <w:t>未收集油烟在熟制间无组织排放，加强集气罩运行管理和车间通风</w:t>
                  </w:r>
                </w:p>
              </w:tc>
            </w:tr>
            <w:tr w14:paraId="2A9120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4" w:type="pct"/>
                  <w:vMerge w:val="continue"/>
                  <w:tcBorders>
                    <w:tl2br w:val="nil"/>
                    <w:tr2bl w:val="nil"/>
                  </w:tcBorders>
                  <w:vAlign w:val="center"/>
                </w:tcPr>
                <w:p w14:paraId="54BEFA55">
                  <w:pPr>
                    <w:pStyle w:val="33"/>
                    <w:rPr>
                      <w:color w:val="auto"/>
                    </w:rPr>
                  </w:pPr>
                </w:p>
              </w:tc>
              <w:tc>
                <w:tcPr>
                  <w:tcW w:w="404" w:type="pct"/>
                  <w:tcBorders>
                    <w:tl2br w:val="nil"/>
                    <w:tr2bl w:val="nil"/>
                  </w:tcBorders>
                  <w:vAlign w:val="center"/>
                </w:tcPr>
                <w:p w14:paraId="31A1DBF0">
                  <w:pPr>
                    <w:pStyle w:val="33"/>
                    <w:rPr>
                      <w:color w:val="auto"/>
                    </w:rPr>
                  </w:pPr>
                  <w:r>
                    <w:rPr>
                      <w:rFonts w:hint="eastAsia"/>
                      <w:color w:val="auto"/>
                    </w:rPr>
                    <w:t>粉碎、混合、制粒和除尘</w:t>
                  </w:r>
                </w:p>
              </w:tc>
              <w:tc>
                <w:tcPr>
                  <w:tcW w:w="396" w:type="pct"/>
                  <w:tcBorders>
                    <w:tl2br w:val="nil"/>
                    <w:tr2bl w:val="nil"/>
                  </w:tcBorders>
                  <w:vAlign w:val="center"/>
                </w:tcPr>
                <w:p w14:paraId="297F5ADC">
                  <w:pPr>
                    <w:pStyle w:val="33"/>
                    <w:rPr>
                      <w:color w:val="auto"/>
                    </w:rPr>
                  </w:pPr>
                  <w:r>
                    <w:rPr>
                      <w:rFonts w:hint="eastAsia"/>
                      <w:color w:val="auto"/>
                    </w:rPr>
                    <w:t>颗粒物</w:t>
                  </w:r>
                </w:p>
              </w:tc>
              <w:tc>
                <w:tcPr>
                  <w:tcW w:w="504" w:type="pct"/>
                  <w:tcBorders>
                    <w:tl2br w:val="nil"/>
                    <w:tr2bl w:val="nil"/>
                  </w:tcBorders>
                  <w:vAlign w:val="center"/>
                </w:tcPr>
                <w:p w14:paraId="15CD6724">
                  <w:pPr>
                    <w:pStyle w:val="33"/>
                    <w:rPr>
                      <w:color w:val="auto"/>
                    </w:rPr>
                  </w:pPr>
                  <w:r>
                    <w:rPr>
                      <w:rFonts w:hint="eastAsia"/>
                      <w:color w:val="auto"/>
                    </w:rPr>
                    <w:t>/</w:t>
                  </w:r>
                </w:p>
              </w:tc>
              <w:tc>
                <w:tcPr>
                  <w:tcW w:w="476" w:type="pct"/>
                  <w:tcBorders>
                    <w:tl2br w:val="nil"/>
                    <w:tr2bl w:val="nil"/>
                  </w:tcBorders>
                  <w:vAlign w:val="center"/>
                </w:tcPr>
                <w:p w14:paraId="03FA92EB">
                  <w:pPr>
                    <w:pStyle w:val="33"/>
                    <w:rPr>
                      <w:rFonts w:hint="default" w:eastAsia="宋体"/>
                      <w:color w:val="auto"/>
                      <w:lang w:val="en-US" w:eastAsia="zh-CN"/>
                    </w:rPr>
                  </w:pPr>
                  <w:r>
                    <w:rPr>
                      <w:rFonts w:hint="eastAsia"/>
                      <w:color w:val="auto"/>
                      <w:lang w:val="en-US" w:eastAsia="zh-CN"/>
                    </w:rPr>
                    <w:t>0.0005</w:t>
                  </w:r>
                </w:p>
              </w:tc>
              <w:tc>
                <w:tcPr>
                  <w:tcW w:w="457" w:type="pct"/>
                  <w:tcBorders>
                    <w:tl2br w:val="nil"/>
                    <w:tr2bl w:val="nil"/>
                  </w:tcBorders>
                  <w:vAlign w:val="center"/>
                </w:tcPr>
                <w:p w14:paraId="3EE2F5BF">
                  <w:pPr>
                    <w:pStyle w:val="33"/>
                    <w:rPr>
                      <w:rFonts w:hint="default" w:eastAsia="宋体"/>
                      <w:color w:val="auto"/>
                      <w:lang w:val="en-US" w:eastAsia="zh-CN"/>
                    </w:rPr>
                  </w:pPr>
                  <w:r>
                    <w:rPr>
                      <w:rFonts w:hint="eastAsia"/>
                      <w:color w:val="auto"/>
                      <w:lang w:val="en-US" w:eastAsia="zh-CN"/>
                    </w:rPr>
                    <w:t>0.0002</w:t>
                  </w:r>
                </w:p>
              </w:tc>
              <w:tc>
                <w:tcPr>
                  <w:tcW w:w="611" w:type="pct"/>
                  <w:tcBorders>
                    <w:tl2br w:val="nil"/>
                    <w:tr2bl w:val="nil"/>
                  </w:tcBorders>
                  <w:vAlign w:val="center"/>
                </w:tcPr>
                <w:p w14:paraId="23FA78F4">
                  <w:pPr>
                    <w:pStyle w:val="33"/>
                    <w:rPr>
                      <w:rFonts w:hint="eastAsia" w:eastAsia="宋体"/>
                      <w:color w:val="auto"/>
                      <w:lang w:val="en-US" w:eastAsia="zh-CN"/>
                    </w:rPr>
                  </w:pPr>
                  <w:r>
                    <w:rPr>
                      <w:rFonts w:hint="eastAsia"/>
                      <w:color w:val="auto"/>
                      <w:lang w:val="en-US" w:eastAsia="zh-CN"/>
                    </w:rPr>
                    <w:t>/</w:t>
                  </w:r>
                </w:p>
              </w:tc>
              <w:tc>
                <w:tcPr>
                  <w:tcW w:w="507" w:type="pct"/>
                  <w:tcBorders>
                    <w:tl2br w:val="nil"/>
                    <w:tr2bl w:val="nil"/>
                  </w:tcBorders>
                  <w:vAlign w:val="center"/>
                </w:tcPr>
                <w:p w14:paraId="5AFEF6F0">
                  <w:pPr>
                    <w:pStyle w:val="33"/>
                    <w:rPr>
                      <w:rFonts w:hint="default" w:eastAsia="宋体"/>
                      <w:color w:val="auto"/>
                      <w:lang w:val="en-US" w:eastAsia="zh-CN"/>
                    </w:rPr>
                  </w:pPr>
                  <w:r>
                    <w:rPr>
                      <w:rFonts w:hint="eastAsia"/>
                      <w:color w:val="auto"/>
                      <w:lang w:val="en-US" w:eastAsia="zh-CN"/>
                    </w:rPr>
                    <w:t>0.0005</w:t>
                  </w:r>
                </w:p>
              </w:tc>
              <w:tc>
                <w:tcPr>
                  <w:tcW w:w="437" w:type="pct"/>
                  <w:tcBorders>
                    <w:tl2br w:val="nil"/>
                    <w:tr2bl w:val="nil"/>
                  </w:tcBorders>
                  <w:vAlign w:val="center"/>
                </w:tcPr>
                <w:p w14:paraId="02544E47">
                  <w:pPr>
                    <w:pStyle w:val="33"/>
                    <w:rPr>
                      <w:rFonts w:hint="default" w:eastAsia="宋体"/>
                      <w:color w:val="auto"/>
                      <w:lang w:val="en-US" w:eastAsia="zh-CN"/>
                    </w:rPr>
                  </w:pPr>
                  <w:r>
                    <w:rPr>
                      <w:rFonts w:hint="eastAsia"/>
                      <w:color w:val="auto"/>
                      <w:lang w:val="en-US" w:eastAsia="zh-CN"/>
                    </w:rPr>
                    <w:t>0.0002</w:t>
                  </w:r>
                </w:p>
              </w:tc>
              <w:tc>
                <w:tcPr>
                  <w:tcW w:w="909" w:type="pct"/>
                  <w:tcBorders>
                    <w:tl2br w:val="nil"/>
                    <w:tr2bl w:val="nil"/>
                  </w:tcBorders>
                  <w:vAlign w:val="center"/>
                </w:tcPr>
                <w:p w14:paraId="774B9B48">
                  <w:pPr>
                    <w:pStyle w:val="33"/>
                    <w:rPr>
                      <w:color w:val="auto"/>
                    </w:rPr>
                  </w:pPr>
                  <w:r>
                    <w:rPr>
                      <w:color w:val="auto"/>
                    </w:rPr>
                    <w:t>采用密闭设备，加强操作管理及车间通风</w:t>
                  </w:r>
                </w:p>
              </w:tc>
            </w:tr>
          </w:tbl>
          <w:p w14:paraId="1CA35A5F">
            <w:pPr>
              <w:pStyle w:val="35"/>
              <w:rPr>
                <w:rFonts w:hint="default"/>
                <w:color w:val="auto"/>
              </w:rPr>
            </w:pPr>
            <w:r>
              <w:rPr>
                <w:color w:val="auto"/>
              </w:rPr>
              <w:t>表4-2 废气排放口基本情况表</w:t>
            </w:r>
          </w:p>
          <w:tbl>
            <w:tblPr>
              <w:tblStyle w:val="1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7"/>
              <w:gridCol w:w="855"/>
              <w:gridCol w:w="945"/>
              <w:gridCol w:w="810"/>
              <w:gridCol w:w="765"/>
              <w:gridCol w:w="735"/>
              <w:gridCol w:w="765"/>
              <w:gridCol w:w="2428"/>
            </w:tblGrid>
            <w:tr w14:paraId="2D2673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8" w:type="pct"/>
                  <w:tcBorders>
                    <w:tl2br w:val="nil"/>
                    <w:tr2bl w:val="nil"/>
                  </w:tcBorders>
                  <w:vAlign w:val="center"/>
                </w:tcPr>
                <w:p w14:paraId="41CEAD74">
                  <w:pPr>
                    <w:pStyle w:val="33"/>
                    <w:rPr>
                      <w:color w:val="auto"/>
                    </w:rPr>
                  </w:pPr>
                  <w:r>
                    <w:rPr>
                      <w:rFonts w:hint="eastAsia"/>
                      <w:color w:val="auto"/>
                    </w:rPr>
                    <w:t>排放口名称</w:t>
                  </w:r>
                </w:p>
              </w:tc>
              <w:tc>
                <w:tcPr>
                  <w:tcW w:w="531" w:type="pct"/>
                  <w:tcBorders>
                    <w:tl2br w:val="nil"/>
                    <w:tr2bl w:val="nil"/>
                  </w:tcBorders>
                  <w:vAlign w:val="center"/>
                </w:tcPr>
                <w:p w14:paraId="30E104CC">
                  <w:pPr>
                    <w:pStyle w:val="33"/>
                    <w:rPr>
                      <w:color w:val="auto"/>
                    </w:rPr>
                  </w:pPr>
                  <w:r>
                    <w:rPr>
                      <w:rFonts w:hint="eastAsia"/>
                      <w:color w:val="auto"/>
                    </w:rPr>
                    <w:t>编号</w:t>
                  </w:r>
                </w:p>
              </w:tc>
              <w:tc>
                <w:tcPr>
                  <w:tcW w:w="587" w:type="pct"/>
                  <w:tcBorders>
                    <w:tl2br w:val="nil"/>
                    <w:tr2bl w:val="nil"/>
                  </w:tcBorders>
                  <w:vAlign w:val="center"/>
                </w:tcPr>
                <w:p w14:paraId="4381CECA">
                  <w:pPr>
                    <w:pStyle w:val="33"/>
                    <w:rPr>
                      <w:color w:val="auto"/>
                    </w:rPr>
                  </w:pPr>
                  <w:r>
                    <w:rPr>
                      <w:rFonts w:hint="eastAsia"/>
                      <w:color w:val="auto"/>
                    </w:rPr>
                    <w:t>地理坐标</w:t>
                  </w:r>
                </w:p>
              </w:tc>
              <w:tc>
                <w:tcPr>
                  <w:tcW w:w="503" w:type="pct"/>
                  <w:tcBorders>
                    <w:tl2br w:val="nil"/>
                    <w:tr2bl w:val="nil"/>
                  </w:tcBorders>
                  <w:vAlign w:val="center"/>
                </w:tcPr>
                <w:p w14:paraId="65E6FC90">
                  <w:pPr>
                    <w:pStyle w:val="33"/>
                    <w:rPr>
                      <w:color w:val="auto"/>
                    </w:rPr>
                  </w:pPr>
                  <w:r>
                    <w:rPr>
                      <w:rFonts w:hint="eastAsia"/>
                      <w:color w:val="auto"/>
                    </w:rPr>
                    <w:t>类型</w:t>
                  </w:r>
                </w:p>
              </w:tc>
              <w:tc>
                <w:tcPr>
                  <w:tcW w:w="475" w:type="pct"/>
                  <w:tcBorders>
                    <w:tl2br w:val="nil"/>
                    <w:tr2bl w:val="nil"/>
                  </w:tcBorders>
                  <w:vAlign w:val="center"/>
                </w:tcPr>
                <w:p w14:paraId="697410B4">
                  <w:pPr>
                    <w:pStyle w:val="33"/>
                    <w:rPr>
                      <w:color w:val="auto"/>
                    </w:rPr>
                  </w:pPr>
                  <w:r>
                    <w:rPr>
                      <w:rFonts w:hint="eastAsia"/>
                      <w:color w:val="auto"/>
                    </w:rPr>
                    <w:t>温度</w:t>
                  </w:r>
                </w:p>
              </w:tc>
              <w:tc>
                <w:tcPr>
                  <w:tcW w:w="457" w:type="pct"/>
                  <w:tcBorders>
                    <w:tl2br w:val="nil"/>
                    <w:tr2bl w:val="nil"/>
                  </w:tcBorders>
                  <w:vAlign w:val="center"/>
                </w:tcPr>
                <w:p w14:paraId="24B1B4EA">
                  <w:pPr>
                    <w:pStyle w:val="33"/>
                    <w:rPr>
                      <w:color w:val="auto"/>
                    </w:rPr>
                  </w:pPr>
                  <w:r>
                    <w:rPr>
                      <w:rFonts w:hint="eastAsia"/>
                      <w:color w:val="auto"/>
                    </w:rPr>
                    <w:t>高度</w:t>
                  </w:r>
                </w:p>
              </w:tc>
              <w:tc>
                <w:tcPr>
                  <w:tcW w:w="475" w:type="pct"/>
                  <w:tcBorders>
                    <w:tl2br w:val="nil"/>
                    <w:tr2bl w:val="nil"/>
                  </w:tcBorders>
                  <w:vAlign w:val="center"/>
                </w:tcPr>
                <w:p w14:paraId="50764195">
                  <w:pPr>
                    <w:pStyle w:val="33"/>
                    <w:rPr>
                      <w:color w:val="auto"/>
                    </w:rPr>
                  </w:pPr>
                  <w:r>
                    <w:rPr>
                      <w:rFonts w:hint="eastAsia"/>
                      <w:color w:val="auto"/>
                    </w:rPr>
                    <w:t>内径</w:t>
                  </w:r>
                </w:p>
              </w:tc>
              <w:tc>
                <w:tcPr>
                  <w:tcW w:w="1509" w:type="pct"/>
                  <w:tcBorders>
                    <w:tl2br w:val="nil"/>
                    <w:tr2bl w:val="nil"/>
                  </w:tcBorders>
                  <w:vAlign w:val="center"/>
                </w:tcPr>
                <w:p w14:paraId="63BEE365">
                  <w:pPr>
                    <w:pStyle w:val="33"/>
                    <w:rPr>
                      <w:color w:val="auto"/>
                    </w:rPr>
                  </w:pPr>
                  <w:r>
                    <w:rPr>
                      <w:rFonts w:hint="eastAsia"/>
                      <w:color w:val="auto"/>
                    </w:rPr>
                    <w:t>排放标准</w:t>
                  </w:r>
                </w:p>
              </w:tc>
            </w:tr>
            <w:tr w14:paraId="5F978D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8" w:type="pct"/>
                  <w:tcBorders>
                    <w:tl2br w:val="nil"/>
                    <w:tr2bl w:val="nil"/>
                  </w:tcBorders>
                  <w:vAlign w:val="center"/>
                </w:tcPr>
                <w:p w14:paraId="372DD9F3">
                  <w:pPr>
                    <w:pStyle w:val="33"/>
                    <w:rPr>
                      <w:color w:val="auto"/>
                    </w:rPr>
                  </w:pPr>
                  <w:r>
                    <w:rPr>
                      <w:rFonts w:hint="eastAsia"/>
                      <w:color w:val="auto"/>
                    </w:rPr>
                    <w:t>排气筒</w:t>
                  </w:r>
                </w:p>
              </w:tc>
              <w:tc>
                <w:tcPr>
                  <w:tcW w:w="531" w:type="pct"/>
                  <w:tcBorders>
                    <w:tl2br w:val="nil"/>
                    <w:tr2bl w:val="nil"/>
                  </w:tcBorders>
                  <w:vAlign w:val="center"/>
                </w:tcPr>
                <w:p w14:paraId="750F148B">
                  <w:pPr>
                    <w:pStyle w:val="33"/>
                    <w:rPr>
                      <w:color w:val="auto"/>
                    </w:rPr>
                  </w:pPr>
                  <w:r>
                    <w:rPr>
                      <w:rFonts w:hint="eastAsia"/>
                      <w:color w:val="auto"/>
                    </w:rPr>
                    <w:t>DA001</w:t>
                  </w:r>
                </w:p>
              </w:tc>
              <w:tc>
                <w:tcPr>
                  <w:tcW w:w="587" w:type="pct"/>
                  <w:tcBorders>
                    <w:tl2br w:val="nil"/>
                    <w:tr2bl w:val="nil"/>
                  </w:tcBorders>
                  <w:vAlign w:val="center"/>
                </w:tcPr>
                <w:p w14:paraId="5E940D75">
                  <w:pPr>
                    <w:pStyle w:val="33"/>
                    <w:rPr>
                      <w:color w:val="auto"/>
                    </w:rPr>
                  </w:pPr>
                  <w:r>
                    <w:rPr>
                      <w:rFonts w:hint="default" w:ascii="Times New Roman" w:hAnsi="Times New Roman" w:cs="Times New Roman"/>
                      <w:color w:val="auto"/>
                    </w:rPr>
                    <w:t>109°25′19.40</w:t>
                  </w:r>
                  <w:r>
                    <w:rPr>
                      <w:rFonts w:hint="default" w:ascii="Times New Roman" w:hAnsi="Times New Roman" w:cs="Times New Roman"/>
                      <w:color w:val="auto"/>
                      <w:lang w:val="en-US" w:eastAsia="zh-CN"/>
                    </w:rPr>
                    <w:t>2</w:t>
                  </w:r>
                  <w:r>
                    <w:rPr>
                      <w:rFonts w:hint="default" w:ascii="Times New Roman" w:hAnsi="Times New Roman" w:cs="Times New Roman"/>
                      <w:color w:val="auto"/>
                    </w:rPr>
                    <w:t>″,24°11′33.07</w:t>
                  </w:r>
                  <w:r>
                    <w:rPr>
                      <w:rFonts w:hint="default" w:ascii="Times New Roman" w:hAnsi="Times New Roman" w:cs="Times New Roman"/>
                      <w:color w:val="auto"/>
                      <w:lang w:val="en-US" w:eastAsia="zh-CN"/>
                    </w:rPr>
                    <w:t>9</w:t>
                  </w:r>
                  <w:r>
                    <w:rPr>
                      <w:rFonts w:hint="default" w:ascii="Times New Roman" w:hAnsi="Times New Roman" w:cs="Times New Roman"/>
                      <w:color w:val="auto"/>
                    </w:rPr>
                    <w:t>″</w:t>
                  </w:r>
                </w:p>
              </w:tc>
              <w:tc>
                <w:tcPr>
                  <w:tcW w:w="503" w:type="pct"/>
                  <w:tcBorders>
                    <w:tl2br w:val="nil"/>
                    <w:tr2bl w:val="nil"/>
                  </w:tcBorders>
                  <w:vAlign w:val="center"/>
                </w:tcPr>
                <w:p w14:paraId="70D5302C">
                  <w:pPr>
                    <w:pStyle w:val="33"/>
                    <w:rPr>
                      <w:color w:val="auto"/>
                    </w:rPr>
                  </w:pPr>
                  <w:r>
                    <w:rPr>
                      <w:rFonts w:hint="eastAsia"/>
                      <w:color w:val="auto"/>
                    </w:rPr>
                    <w:t>一般排放口</w:t>
                  </w:r>
                </w:p>
              </w:tc>
              <w:tc>
                <w:tcPr>
                  <w:tcW w:w="475" w:type="pct"/>
                  <w:tcBorders>
                    <w:tl2br w:val="nil"/>
                    <w:tr2bl w:val="nil"/>
                  </w:tcBorders>
                  <w:vAlign w:val="center"/>
                </w:tcPr>
                <w:p w14:paraId="3DA5ECB0">
                  <w:pPr>
                    <w:pStyle w:val="33"/>
                    <w:rPr>
                      <w:color w:val="auto"/>
                    </w:rPr>
                  </w:pPr>
                  <w:r>
                    <w:rPr>
                      <w:rFonts w:hint="eastAsia"/>
                      <w:color w:val="auto"/>
                    </w:rPr>
                    <w:t>30℃</w:t>
                  </w:r>
                </w:p>
              </w:tc>
              <w:tc>
                <w:tcPr>
                  <w:tcW w:w="457" w:type="pct"/>
                  <w:tcBorders>
                    <w:tl2br w:val="nil"/>
                    <w:tr2bl w:val="nil"/>
                  </w:tcBorders>
                  <w:vAlign w:val="center"/>
                </w:tcPr>
                <w:p w14:paraId="2175FA93">
                  <w:pPr>
                    <w:pStyle w:val="33"/>
                    <w:rPr>
                      <w:color w:val="auto"/>
                    </w:rPr>
                  </w:pPr>
                  <w:r>
                    <w:rPr>
                      <w:rFonts w:hint="eastAsia"/>
                      <w:color w:val="auto"/>
                    </w:rPr>
                    <w:t>18m</w:t>
                  </w:r>
                </w:p>
              </w:tc>
              <w:tc>
                <w:tcPr>
                  <w:tcW w:w="475" w:type="pct"/>
                  <w:tcBorders>
                    <w:tl2br w:val="nil"/>
                    <w:tr2bl w:val="nil"/>
                  </w:tcBorders>
                  <w:vAlign w:val="center"/>
                </w:tcPr>
                <w:p w14:paraId="461A9CB0">
                  <w:pPr>
                    <w:pStyle w:val="33"/>
                    <w:rPr>
                      <w:color w:val="auto"/>
                    </w:rPr>
                  </w:pPr>
                  <w:r>
                    <w:rPr>
                      <w:rFonts w:hint="eastAsia"/>
                      <w:color w:val="auto"/>
                    </w:rPr>
                    <w:t>0.6m</w:t>
                  </w:r>
                </w:p>
              </w:tc>
              <w:tc>
                <w:tcPr>
                  <w:tcW w:w="1509" w:type="pct"/>
                  <w:tcBorders>
                    <w:tl2br w:val="nil"/>
                    <w:tr2bl w:val="nil"/>
                  </w:tcBorders>
                  <w:vAlign w:val="center"/>
                </w:tcPr>
                <w:p w14:paraId="05F9EA20">
                  <w:pPr>
                    <w:pStyle w:val="33"/>
                    <w:rPr>
                      <w:color w:val="auto"/>
                    </w:rPr>
                  </w:pPr>
                  <w:r>
                    <w:rPr>
                      <w:color w:val="auto"/>
                    </w:rPr>
                    <w:t>油烟执行《饮食业油烟排放标准（试行）》（GB 18483—2001）；天然气燃烧颗粒物、SO</w:t>
                  </w:r>
                  <w:r>
                    <w:rPr>
                      <w:rFonts w:hint="eastAsia"/>
                      <w:color w:val="auto"/>
                      <w:vertAlign w:val="subscript"/>
                      <w:lang w:val="en-US" w:eastAsia="zh-CN"/>
                    </w:rPr>
                    <w:t>2</w:t>
                  </w:r>
                  <w:r>
                    <w:rPr>
                      <w:color w:val="auto"/>
                    </w:rPr>
                    <w:t>、NOx执行《大气污染物综合排放标准》（GB 16297—1996）表2二级标准</w:t>
                  </w:r>
                </w:p>
              </w:tc>
            </w:tr>
          </w:tbl>
          <w:p w14:paraId="541ADEC7">
            <w:pPr>
              <w:ind w:firstLine="482"/>
              <w:rPr>
                <w:b/>
                <w:bCs/>
                <w:color w:val="auto"/>
              </w:rPr>
            </w:pPr>
            <w:r>
              <w:rPr>
                <w:rFonts w:hint="eastAsia"/>
                <w:b/>
                <w:bCs/>
                <w:color w:val="auto"/>
              </w:rPr>
              <w:t>（2）非正常工况下废气达标分析</w:t>
            </w:r>
          </w:p>
          <w:p w14:paraId="38341BB0">
            <w:pPr>
              <w:ind w:firstLine="480"/>
              <w:rPr>
                <w:color w:val="auto"/>
              </w:rPr>
            </w:pPr>
            <w:r>
              <w:rPr>
                <w:color w:val="auto"/>
              </w:rPr>
              <w:t>本项目非正常工况主要考虑高效静电油烟净化设施发生故障，净化效率由正常工况下的95%下降至0，但废气收集系统仍正常运行。非正常工况持续时间按1 h/次计，年发生频次按1次/a计。正常工况下油烟产生速率约为0.111</w:t>
            </w:r>
            <w:r>
              <w:rPr>
                <w:rFonts w:hint="eastAsia"/>
                <w:color w:val="auto"/>
                <w:lang w:val="en-US" w:eastAsia="zh-CN"/>
              </w:rPr>
              <w:t>2</w:t>
            </w:r>
            <w:r>
              <w:rPr>
                <w:color w:val="auto"/>
              </w:rPr>
              <w:t xml:space="preserve"> kg/h，集气罩收集效率为90%，则非正常工况下油烟有组织排放速率约为0.100</w:t>
            </w:r>
            <w:r>
              <w:rPr>
                <w:rFonts w:hint="eastAsia"/>
                <w:color w:val="auto"/>
                <w:lang w:val="en-US" w:eastAsia="zh-CN"/>
              </w:rPr>
              <w:t>1</w:t>
            </w:r>
            <w:r>
              <w:rPr>
                <w:color w:val="auto"/>
              </w:rPr>
              <w:t xml:space="preserve"> kg/h。按DA001设计风量25000 m</w:t>
            </w:r>
            <w:r>
              <w:rPr>
                <w:rFonts w:hint="eastAsia"/>
                <w:color w:val="auto"/>
                <w:vertAlign w:val="superscript"/>
                <w:lang w:val="en-US" w:eastAsia="zh-CN"/>
              </w:rPr>
              <w:t>3</w:t>
            </w:r>
            <w:r>
              <w:rPr>
                <w:color w:val="auto"/>
              </w:rPr>
              <w:t>/h计算，油烟排放浓度约为4.00</w:t>
            </w:r>
            <w:r>
              <w:rPr>
                <w:rFonts w:hint="eastAsia"/>
                <w:color w:val="auto"/>
                <w:lang w:val="en-US" w:eastAsia="zh-CN"/>
              </w:rPr>
              <w:t>4</w:t>
            </w:r>
            <w:r>
              <w:rPr>
                <w:color w:val="auto"/>
              </w:rPr>
              <w:t xml:space="preserve"> mg/m</w:t>
            </w:r>
            <w:r>
              <w:rPr>
                <w:rFonts w:hint="eastAsia"/>
                <w:color w:val="auto"/>
                <w:vertAlign w:val="superscript"/>
                <w:lang w:val="en-US" w:eastAsia="zh-CN"/>
              </w:rPr>
              <w:t>3</w:t>
            </w:r>
            <w:r>
              <w:rPr>
                <w:color w:val="auto"/>
              </w:rPr>
              <w:t>，超过《饮食业油烟排放标准（试行）》（GB 18483—2001）规定的2.0 mg/m</w:t>
            </w:r>
            <w:r>
              <w:rPr>
                <w:rFonts w:hint="eastAsia"/>
                <w:color w:val="auto"/>
                <w:vertAlign w:val="superscript"/>
                <w:lang w:val="en-US" w:eastAsia="zh-CN"/>
              </w:rPr>
              <w:t>3</w:t>
            </w:r>
            <w:r>
              <w:rPr>
                <w:color w:val="auto"/>
              </w:rPr>
              <w:t>限值。</w:t>
            </w:r>
          </w:p>
          <w:p w14:paraId="5EAE5E40">
            <w:pPr>
              <w:ind w:firstLine="480"/>
              <w:rPr>
                <w:color w:val="auto"/>
              </w:rPr>
            </w:pPr>
            <w:r>
              <w:rPr>
                <w:color w:val="auto"/>
              </w:rPr>
              <w:t>项目粉碎、投料、调配混合、制粒及干燥等工序颗粒物按无组织排放核算，不设置袋式除尘设施，故不再将粉尘治理设施故障列为非正常工况。天然气燃烧设备启停阶段可能出现短时燃烧不稳定，但持续时间较短，通过加强设备运行管理和定期维护，可降低其环境影响。</w:t>
            </w:r>
          </w:p>
          <w:p w14:paraId="2302B1A4">
            <w:pPr>
              <w:pStyle w:val="35"/>
              <w:rPr>
                <w:rFonts w:hint="default"/>
                <w:color w:val="auto"/>
              </w:rPr>
            </w:pPr>
            <w:r>
              <w:rPr>
                <w:color w:val="auto"/>
              </w:rPr>
              <w:t>表4-3 非正常工况下排放情况</w:t>
            </w:r>
          </w:p>
          <w:tbl>
            <w:tblPr>
              <w:tblStyle w:val="1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005"/>
              <w:gridCol w:w="917"/>
              <w:gridCol w:w="1093"/>
              <w:gridCol w:w="1005"/>
              <w:gridCol w:w="1005"/>
              <w:gridCol w:w="1005"/>
              <w:gridCol w:w="1005"/>
            </w:tblGrid>
            <w:tr w14:paraId="3D7DBA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5" w:type="pct"/>
                  <w:tcBorders>
                    <w:tl2br w:val="nil"/>
                    <w:tr2bl w:val="nil"/>
                  </w:tcBorders>
                  <w:vAlign w:val="center"/>
                </w:tcPr>
                <w:p w14:paraId="39659D45">
                  <w:pPr>
                    <w:pStyle w:val="33"/>
                    <w:rPr>
                      <w:color w:val="auto"/>
                    </w:rPr>
                  </w:pPr>
                  <w:r>
                    <w:rPr>
                      <w:rFonts w:hint="eastAsia"/>
                      <w:color w:val="auto"/>
                    </w:rPr>
                    <w:t>非正常排放源</w:t>
                  </w:r>
                </w:p>
              </w:tc>
              <w:tc>
                <w:tcPr>
                  <w:tcW w:w="625" w:type="pct"/>
                  <w:tcBorders>
                    <w:tl2br w:val="nil"/>
                    <w:tr2bl w:val="nil"/>
                  </w:tcBorders>
                  <w:vAlign w:val="center"/>
                </w:tcPr>
                <w:p w14:paraId="0A4F3EDB">
                  <w:pPr>
                    <w:pStyle w:val="33"/>
                    <w:rPr>
                      <w:color w:val="auto"/>
                    </w:rPr>
                  </w:pPr>
                  <w:r>
                    <w:rPr>
                      <w:rFonts w:hint="eastAsia"/>
                      <w:color w:val="auto"/>
                    </w:rPr>
                    <w:t>非正常工况</w:t>
                  </w:r>
                </w:p>
              </w:tc>
              <w:tc>
                <w:tcPr>
                  <w:tcW w:w="570" w:type="pct"/>
                  <w:tcBorders>
                    <w:tl2br w:val="nil"/>
                    <w:tr2bl w:val="nil"/>
                  </w:tcBorders>
                  <w:vAlign w:val="center"/>
                </w:tcPr>
                <w:p w14:paraId="1D2B026C">
                  <w:pPr>
                    <w:pStyle w:val="33"/>
                    <w:rPr>
                      <w:color w:val="auto"/>
                    </w:rPr>
                  </w:pPr>
                  <w:r>
                    <w:rPr>
                      <w:rFonts w:hint="eastAsia"/>
                      <w:color w:val="auto"/>
                    </w:rPr>
                    <w:t>污染物</w:t>
                  </w:r>
                </w:p>
              </w:tc>
              <w:tc>
                <w:tcPr>
                  <w:tcW w:w="679" w:type="pct"/>
                  <w:tcBorders>
                    <w:tl2br w:val="nil"/>
                    <w:tr2bl w:val="nil"/>
                  </w:tcBorders>
                  <w:vAlign w:val="center"/>
                </w:tcPr>
                <w:p w14:paraId="04307CEB">
                  <w:pPr>
                    <w:pStyle w:val="33"/>
                    <w:rPr>
                      <w:rFonts w:hint="eastAsia" w:eastAsia="宋体"/>
                      <w:color w:val="auto"/>
                      <w:lang w:val="en-US" w:eastAsia="zh-CN"/>
                    </w:rPr>
                  </w:pPr>
                  <w:r>
                    <w:rPr>
                      <w:rFonts w:hint="eastAsia"/>
                      <w:color w:val="auto"/>
                      <w:lang w:val="en-US" w:eastAsia="zh-CN"/>
                    </w:rPr>
                    <w:t>排放浓度（mg/m</w:t>
                  </w:r>
                  <w:r>
                    <w:rPr>
                      <w:rFonts w:hint="eastAsia"/>
                      <w:color w:val="auto"/>
                      <w:vertAlign w:val="superscript"/>
                      <w:lang w:val="en-US" w:eastAsia="zh-CN"/>
                    </w:rPr>
                    <w:t>3</w:t>
                  </w:r>
                  <w:r>
                    <w:rPr>
                      <w:rFonts w:hint="eastAsia"/>
                      <w:color w:val="auto"/>
                      <w:lang w:val="en-US" w:eastAsia="zh-CN"/>
                    </w:rPr>
                    <w:t>）</w:t>
                  </w:r>
                </w:p>
              </w:tc>
              <w:tc>
                <w:tcPr>
                  <w:tcW w:w="625" w:type="pct"/>
                  <w:tcBorders>
                    <w:tl2br w:val="nil"/>
                    <w:tr2bl w:val="nil"/>
                  </w:tcBorders>
                  <w:vAlign w:val="center"/>
                </w:tcPr>
                <w:p w14:paraId="160898D1">
                  <w:pPr>
                    <w:pStyle w:val="33"/>
                    <w:rPr>
                      <w:rFonts w:hint="eastAsia" w:eastAsia="宋体"/>
                      <w:color w:val="auto"/>
                      <w:lang w:eastAsia="zh-CN"/>
                    </w:rPr>
                  </w:pPr>
                  <w:r>
                    <w:rPr>
                      <w:rFonts w:hint="eastAsia"/>
                      <w:color w:val="auto"/>
                    </w:rPr>
                    <w:t>排放速率</w:t>
                  </w:r>
                  <w:r>
                    <w:rPr>
                      <w:rFonts w:hint="eastAsia"/>
                      <w:color w:val="auto"/>
                      <w:lang w:eastAsia="zh-CN"/>
                    </w:rPr>
                    <w:t>（</w:t>
                  </w:r>
                  <w:r>
                    <w:rPr>
                      <w:rFonts w:hint="eastAsia"/>
                      <w:color w:val="auto"/>
                      <w:lang w:val="en-US" w:eastAsia="zh-CN"/>
                    </w:rPr>
                    <w:t>kg/h</w:t>
                  </w:r>
                  <w:r>
                    <w:rPr>
                      <w:rFonts w:hint="eastAsia"/>
                      <w:color w:val="auto"/>
                      <w:lang w:eastAsia="zh-CN"/>
                    </w:rPr>
                    <w:t>）</w:t>
                  </w:r>
                </w:p>
              </w:tc>
              <w:tc>
                <w:tcPr>
                  <w:tcW w:w="625" w:type="pct"/>
                  <w:tcBorders>
                    <w:tl2br w:val="nil"/>
                    <w:tr2bl w:val="nil"/>
                  </w:tcBorders>
                  <w:vAlign w:val="center"/>
                </w:tcPr>
                <w:p w14:paraId="62DB4A83">
                  <w:pPr>
                    <w:pStyle w:val="33"/>
                    <w:rPr>
                      <w:color w:val="auto"/>
                    </w:rPr>
                  </w:pPr>
                  <w:r>
                    <w:rPr>
                      <w:rFonts w:hint="eastAsia"/>
                      <w:color w:val="auto"/>
                    </w:rPr>
                    <w:t>单次持续时间</w:t>
                  </w:r>
                </w:p>
              </w:tc>
              <w:tc>
                <w:tcPr>
                  <w:tcW w:w="625" w:type="pct"/>
                  <w:tcBorders>
                    <w:tl2br w:val="nil"/>
                    <w:tr2bl w:val="nil"/>
                  </w:tcBorders>
                  <w:vAlign w:val="center"/>
                </w:tcPr>
                <w:p w14:paraId="11C67376">
                  <w:pPr>
                    <w:pStyle w:val="33"/>
                    <w:rPr>
                      <w:color w:val="auto"/>
                    </w:rPr>
                  </w:pPr>
                  <w:r>
                    <w:rPr>
                      <w:rFonts w:hint="eastAsia"/>
                      <w:color w:val="auto"/>
                    </w:rPr>
                    <w:t>年发生频次</w:t>
                  </w:r>
                </w:p>
              </w:tc>
              <w:tc>
                <w:tcPr>
                  <w:tcW w:w="625" w:type="pct"/>
                  <w:tcBorders>
                    <w:tl2br w:val="nil"/>
                    <w:tr2bl w:val="nil"/>
                  </w:tcBorders>
                  <w:vAlign w:val="center"/>
                </w:tcPr>
                <w:p w14:paraId="0548309D">
                  <w:pPr>
                    <w:pStyle w:val="33"/>
                    <w:rPr>
                      <w:rFonts w:hint="eastAsia" w:eastAsia="宋体"/>
                      <w:color w:val="auto"/>
                      <w:lang w:eastAsia="zh-CN"/>
                    </w:rPr>
                  </w:pPr>
                  <w:r>
                    <w:rPr>
                      <w:rFonts w:hint="eastAsia"/>
                      <w:color w:val="auto"/>
                    </w:rPr>
                    <w:t>单次排放量</w:t>
                  </w:r>
                  <w:r>
                    <w:rPr>
                      <w:rFonts w:hint="eastAsia"/>
                      <w:color w:val="auto"/>
                      <w:lang w:eastAsia="zh-CN"/>
                    </w:rPr>
                    <w:t>（</w:t>
                  </w:r>
                  <w:r>
                    <w:rPr>
                      <w:rFonts w:hint="eastAsia"/>
                      <w:color w:val="auto"/>
                      <w:lang w:val="en-US" w:eastAsia="zh-CN"/>
                    </w:rPr>
                    <w:t>t</w:t>
                  </w:r>
                  <w:r>
                    <w:rPr>
                      <w:rFonts w:hint="eastAsia"/>
                      <w:color w:val="auto"/>
                      <w:lang w:eastAsia="zh-CN"/>
                    </w:rPr>
                    <w:t>）</w:t>
                  </w:r>
                </w:p>
              </w:tc>
            </w:tr>
            <w:tr w14:paraId="11F73E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5" w:type="pct"/>
                  <w:tcBorders>
                    <w:tl2br w:val="nil"/>
                    <w:tr2bl w:val="nil"/>
                  </w:tcBorders>
                  <w:vAlign w:val="center"/>
                </w:tcPr>
                <w:p w14:paraId="1B591A5D">
                  <w:pPr>
                    <w:pStyle w:val="33"/>
                    <w:rPr>
                      <w:color w:val="auto"/>
                    </w:rPr>
                  </w:pPr>
                  <w:r>
                    <w:rPr>
                      <w:rFonts w:hint="eastAsia"/>
                      <w:color w:val="auto"/>
                    </w:rPr>
                    <w:t>DA001</w:t>
                  </w:r>
                </w:p>
              </w:tc>
              <w:tc>
                <w:tcPr>
                  <w:tcW w:w="625" w:type="pct"/>
                  <w:tcBorders>
                    <w:tl2br w:val="nil"/>
                    <w:tr2bl w:val="nil"/>
                  </w:tcBorders>
                  <w:vAlign w:val="center"/>
                </w:tcPr>
                <w:p w14:paraId="44552DFD">
                  <w:pPr>
                    <w:pStyle w:val="33"/>
                    <w:rPr>
                      <w:color w:val="auto"/>
                    </w:rPr>
                  </w:pPr>
                  <w:r>
                    <w:rPr>
                      <w:rFonts w:hint="eastAsia"/>
                      <w:color w:val="auto"/>
                    </w:rPr>
                    <w:t>油烟净化设施故障</w:t>
                  </w:r>
                </w:p>
              </w:tc>
              <w:tc>
                <w:tcPr>
                  <w:tcW w:w="570" w:type="pct"/>
                  <w:tcBorders>
                    <w:tl2br w:val="nil"/>
                    <w:tr2bl w:val="nil"/>
                  </w:tcBorders>
                  <w:vAlign w:val="center"/>
                </w:tcPr>
                <w:p w14:paraId="12D21256">
                  <w:pPr>
                    <w:pStyle w:val="33"/>
                    <w:rPr>
                      <w:color w:val="auto"/>
                    </w:rPr>
                  </w:pPr>
                  <w:r>
                    <w:rPr>
                      <w:rFonts w:hint="eastAsia"/>
                      <w:color w:val="auto"/>
                    </w:rPr>
                    <w:t>油烟</w:t>
                  </w:r>
                </w:p>
              </w:tc>
              <w:tc>
                <w:tcPr>
                  <w:tcW w:w="679" w:type="pct"/>
                  <w:tcBorders>
                    <w:tl2br w:val="nil"/>
                    <w:tr2bl w:val="nil"/>
                  </w:tcBorders>
                  <w:vAlign w:val="center"/>
                </w:tcPr>
                <w:p w14:paraId="382F464D">
                  <w:pPr>
                    <w:pStyle w:val="33"/>
                    <w:rPr>
                      <w:rFonts w:hint="default" w:eastAsia="宋体"/>
                      <w:color w:val="auto"/>
                      <w:lang w:val="en-US" w:eastAsia="zh-CN"/>
                    </w:rPr>
                  </w:pPr>
                  <w:r>
                    <w:rPr>
                      <w:rFonts w:hint="eastAsia"/>
                      <w:color w:val="auto"/>
                      <w:lang w:val="en-US" w:eastAsia="zh-CN"/>
                    </w:rPr>
                    <w:t>4.004</w:t>
                  </w:r>
                </w:p>
              </w:tc>
              <w:tc>
                <w:tcPr>
                  <w:tcW w:w="625" w:type="pct"/>
                  <w:tcBorders>
                    <w:tl2br w:val="nil"/>
                    <w:tr2bl w:val="nil"/>
                  </w:tcBorders>
                  <w:vAlign w:val="center"/>
                </w:tcPr>
                <w:p w14:paraId="20163567">
                  <w:pPr>
                    <w:pStyle w:val="33"/>
                    <w:rPr>
                      <w:rFonts w:hint="default"/>
                      <w:color w:val="auto"/>
                      <w:lang w:val="en-US"/>
                    </w:rPr>
                  </w:pPr>
                  <w:r>
                    <w:rPr>
                      <w:rFonts w:hint="eastAsia"/>
                      <w:color w:val="auto"/>
                    </w:rPr>
                    <w:t>0.</w:t>
                  </w:r>
                  <w:r>
                    <w:rPr>
                      <w:rFonts w:hint="eastAsia"/>
                      <w:color w:val="auto"/>
                      <w:lang w:val="en-US" w:eastAsia="zh-CN"/>
                    </w:rPr>
                    <w:t>1001</w:t>
                  </w:r>
                </w:p>
              </w:tc>
              <w:tc>
                <w:tcPr>
                  <w:tcW w:w="625" w:type="pct"/>
                  <w:tcBorders>
                    <w:tl2br w:val="nil"/>
                    <w:tr2bl w:val="nil"/>
                  </w:tcBorders>
                  <w:vAlign w:val="center"/>
                </w:tcPr>
                <w:p w14:paraId="0F0B60D3">
                  <w:pPr>
                    <w:pStyle w:val="33"/>
                    <w:rPr>
                      <w:color w:val="auto"/>
                    </w:rPr>
                  </w:pPr>
                  <w:r>
                    <w:rPr>
                      <w:rFonts w:hint="eastAsia"/>
                      <w:color w:val="auto"/>
                    </w:rPr>
                    <w:t>1h</w:t>
                  </w:r>
                </w:p>
              </w:tc>
              <w:tc>
                <w:tcPr>
                  <w:tcW w:w="625" w:type="pct"/>
                  <w:tcBorders>
                    <w:tl2br w:val="nil"/>
                    <w:tr2bl w:val="nil"/>
                  </w:tcBorders>
                  <w:vAlign w:val="center"/>
                </w:tcPr>
                <w:p w14:paraId="428E3F2A">
                  <w:pPr>
                    <w:pStyle w:val="33"/>
                    <w:rPr>
                      <w:color w:val="auto"/>
                    </w:rPr>
                  </w:pPr>
                  <w:r>
                    <w:rPr>
                      <w:rFonts w:hint="eastAsia"/>
                      <w:color w:val="auto"/>
                    </w:rPr>
                    <w:t>1次/a</w:t>
                  </w:r>
                </w:p>
              </w:tc>
              <w:tc>
                <w:tcPr>
                  <w:tcW w:w="625" w:type="pct"/>
                  <w:tcBorders>
                    <w:tl2br w:val="nil"/>
                    <w:tr2bl w:val="nil"/>
                  </w:tcBorders>
                  <w:vAlign w:val="center"/>
                </w:tcPr>
                <w:p w14:paraId="661A1728">
                  <w:pPr>
                    <w:pStyle w:val="33"/>
                    <w:rPr>
                      <w:color w:val="auto"/>
                    </w:rPr>
                  </w:pPr>
                  <w:r>
                    <w:rPr>
                      <w:rFonts w:hint="eastAsia"/>
                      <w:color w:val="auto"/>
                    </w:rPr>
                    <w:t>0.0001t</w:t>
                  </w:r>
                </w:p>
              </w:tc>
            </w:tr>
          </w:tbl>
          <w:p w14:paraId="552F8186">
            <w:pPr>
              <w:pStyle w:val="7"/>
              <w:ind w:firstLine="480"/>
              <w:rPr>
                <w:color w:val="auto"/>
                <w:lang w:val="en-US"/>
              </w:rPr>
            </w:pPr>
            <w:r>
              <w:rPr>
                <w:color w:val="auto"/>
                <w:lang w:val="en-US"/>
              </w:rPr>
              <w:t>由上表可知，当油烟净化设施发生故障时，油烟排放浓度不能满足相应排放限值。因此，项目应加强油烟净化设施的日常检查和维护，建立设备运行及检修记录；设施故障时立即停止相关熟制、炒制作业，待设施恢复正常运行后方可恢复生产。</w:t>
            </w:r>
          </w:p>
          <w:p w14:paraId="10C01348">
            <w:pPr>
              <w:ind w:firstLine="482"/>
              <w:rPr>
                <w:b/>
                <w:bCs/>
                <w:color w:val="auto"/>
              </w:rPr>
            </w:pPr>
            <w:r>
              <w:rPr>
                <w:rFonts w:hint="eastAsia"/>
                <w:b/>
                <w:bCs/>
                <w:color w:val="auto"/>
              </w:rPr>
              <w:t>（3）废气达标排放及污染防治措施可行性分析</w:t>
            </w:r>
          </w:p>
          <w:p w14:paraId="767EEEA2">
            <w:pPr>
              <w:ind w:firstLine="480"/>
              <w:rPr>
                <w:color w:val="auto"/>
              </w:rPr>
            </w:pPr>
            <w:r>
              <w:rPr>
                <w:color w:val="auto"/>
              </w:rPr>
              <w:t>本项目运营期废气主要包括粉碎、投料、调配混合、制粒及干燥等工序产生的颗粒物，熟制、炒制过程产生的油烟及食品加工异味，以及天然气燃烧产生的颗粒物、SO</w:t>
            </w:r>
            <w:r>
              <w:rPr>
                <w:rFonts w:hint="eastAsia"/>
                <w:color w:val="auto"/>
                <w:vertAlign w:val="subscript"/>
                <w:lang w:val="en-US" w:eastAsia="zh-CN"/>
              </w:rPr>
              <w:t>2</w:t>
            </w:r>
            <w:r>
              <w:rPr>
                <w:color w:val="auto"/>
              </w:rPr>
              <w:t>和NOx。</w:t>
            </w:r>
          </w:p>
          <w:p w14:paraId="77EBA94E">
            <w:pPr>
              <w:ind w:firstLine="480"/>
              <w:rPr>
                <w:color w:val="auto"/>
              </w:rPr>
            </w:pPr>
            <w:r>
              <w:rPr>
                <w:color w:val="auto"/>
              </w:rPr>
              <w:t>项目粉碎、投料、调配混合、制粒及干燥等工序颗粒物产生量约为0.0005t/a。由于颗粒物产生量较少，项目采用密闭设备、</w:t>
            </w:r>
            <w:r>
              <w:rPr>
                <w:rFonts w:hint="eastAsia"/>
                <w:color w:val="auto"/>
                <w:lang w:val="en-US" w:eastAsia="zh-CN"/>
              </w:rPr>
              <w:t>通过</w:t>
            </w:r>
            <w:r>
              <w:rPr>
                <w:color w:val="auto"/>
              </w:rPr>
              <w:t>规范投料操作、及时清扫及加强车间通风等措施减少颗粒物逸散，颗粒物全部按无组织排放核算</w:t>
            </w:r>
            <w:r>
              <w:rPr>
                <w:rFonts w:hint="eastAsia"/>
                <w:color w:val="auto"/>
                <w:lang w:eastAsia="zh-CN"/>
              </w:rPr>
              <w:t>。</w:t>
            </w:r>
            <w:r>
              <w:rPr>
                <w:color w:val="auto"/>
              </w:rPr>
              <w:t>采取上述措施后，厂界颗粒物浓度能够满足《大气污染物综合排放标准》（GB 16297—1996）表2无组织排放监控浓度限值要求。</w:t>
            </w:r>
          </w:p>
          <w:p w14:paraId="5F197C81">
            <w:pPr>
              <w:ind w:firstLine="480"/>
              <w:rPr>
                <w:rFonts w:hint="eastAsia"/>
                <w:color w:val="auto"/>
                <w:lang w:val="en-US" w:eastAsia="zh-CN"/>
              </w:rPr>
            </w:pPr>
            <w:r>
              <w:rPr>
                <w:color w:val="auto"/>
              </w:rPr>
              <w:t>熟制、炒制过程中产生的油烟经半密闭上吸式集气罩收集后进入油烟净化设施处理，集气罩收集效率按90%计，油烟净化效率按95%计，设计风量为25000 m</w:t>
            </w:r>
            <w:r>
              <w:rPr>
                <w:rFonts w:hint="eastAsia"/>
                <w:color w:val="auto"/>
                <w:vertAlign w:val="superscript"/>
                <w:lang w:val="en-US" w:eastAsia="zh-CN"/>
              </w:rPr>
              <w:t>3</w:t>
            </w:r>
            <w:r>
              <w:rPr>
                <w:color w:val="auto"/>
              </w:rPr>
              <w:t>/h。经核算，油烟有组织排放量约为0.0116 t/a、排放速率约为0.0050 kg/h、排放浓度约为0.200 mg/m</w:t>
            </w:r>
            <w:r>
              <w:rPr>
                <w:rFonts w:hint="eastAsia"/>
                <w:color w:val="auto"/>
                <w:vertAlign w:val="superscript"/>
                <w:lang w:val="en-US" w:eastAsia="zh-CN"/>
              </w:rPr>
              <w:t>3</w:t>
            </w:r>
            <w:r>
              <w:rPr>
                <w:color w:val="auto"/>
              </w:rPr>
              <w:t>，通过18 m高排气筒DA001排放；未收集油烟无组织排放量为0.0258 t/a，排放速率为0.0111 kg/h。能够满足《饮食业油烟排放标准（试行）》（GB 18483—2001）中2.0 mg/m</w:t>
            </w:r>
            <w:r>
              <w:rPr>
                <w:rFonts w:hint="eastAsia"/>
                <w:color w:val="auto"/>
                <w:vertAlign w:val="superscript"/>
                <w:lang w:val="en-US" w:eastAsia="zh-CN"/>
              </w:rPr>
              <w:t>3</w:t>
            </w:r>
            <w:r>
              <w:rPr>
                <w:color w:val="auto"/>
              </w:rPr>
              <w:t>的</w:t>
            </w:r>
            <w:r>
              <w:rPr>
                <w:rFonts w:hint="eastAsia"/>
                <w:color w:val="auto"/>
                <w:lang w:val="en-US" w:eastAsia="zh-CN"/>
              </w:rPr>
              <w:t>最高允许排放浓度限值。</w:t>
            </w:r>
          </w:p>
          <w:p w14:paraId="03B234E9">
            <w:pPr>
              <w:ind w:firstLine="480"/>
              <w:rPr>
                <w:rFonts w:hint="eastAsia"/>
                <w:color w:val="auto"/>
                <w:lang w:val="en-US" w:eastAsia="zh-CN"/>
              </w:rPr>
            </w:pPr>
            <w:r>
              <w:rPr>
                <w:rFonts w:hint="default"/>
                <w:color w:val="auto"/>
                <w:lang w:val="en-US" w:eastAsia="zh-CN"/>
              </w:rPr>
              <w:t>复合调味酱、复合调味油等产品在熟制、炒制过程中，香辛料、食用植物油及其他原辅材料受热会产生少量食品加工异味，主要污染因子</w:t>
            </w:r>
            <w:r>
              <w:rPr>
                <w:rFonts w:hint="eastAsia"/>
                <w:color w:val="auto"/>
                <w:lang w:val="en-US" w:eastAsia="zh-CN"/>
              </w:rPr>
              <w:t>为臭气浓度。异味与油烟废气一并经集气罩收集，收集后的废气经高效静电油烟净化设施去除油烟后，通过18 m高排气筒DA001排放，油烟净化设施对异味的去除效率不作定量考虑。未被收集的少量异味在熟制间内无组织排放。项目通过加强集气罩运行管理、保持车间通风、缩短有气味原辅材料暴露时间、及时清理食品残渣和清洗生产设备等措施减少异味影响。</w:t>
            </w:r>
          </w:p>
          <w:p w14:paraId="5FE482AB">
            <w:pPr>
              <w:keepNext w:val="0"/>
              <w:keepLines w:val="0"/>
              <w:pageBreakBefore w:val="0"/>
              <w:widowControl w:val="0"/>
              <w:kinsoku/>
              <w:wordWrap w:val="0"/>
              <w:overflowPunct/>
              <w:topLinePunct w:val="0"/>
              <w:autoSpaceDE/>
              <w:autoSpaceDN/>
              <w:bidi w:val="0"/>
              <w:adjustRightInd/>
              <w:snapToGrid/>
              <w:ind w:firstLine="480"/>
              <w:textAlignment w:val="auto"/>
              <w:rPr>
                <w:rFonts w:hint="default"/>
                <w:color w:val="auto"/>
                <w:lang w:val="en-US" w:eastAsia="zh-CN"/>
              </w:rPr>
            </w:pPr>
            <w:r>
              <w:rPr>
                <w:rFonts w:hint="default"/>
                <w:color w:val="auto"/>
                <w:lang w:val="en-US" w:eastAsia="zh-CN"/>
              </w:rPr>
              <w:t>类比同类型复合调味品生产项目《年生产复合调味品10000吨、预制食品3500吨项目（一期）环境影响报告表》https://www.taixing.gov.cn/cms_files/filemanager/2093841808/attach/202511/b4d61a7e19ab45439d4c0be4bf6e27a3.pdf，在生产工序均位于封闭车间内，并采取废气收集、车间清洁、生产废物及时清理及厂区绿化等措施后，食品加工异味对周围环境及敏感点的影响较小。本项目熟制、炒制工序间歇运行，异味产生量较少，且项目最近居民点距厂界约350 m。异味经收集和高空排放，并经大气扩散稀释后，预计DA001有组织臭气浓度和厂界无组织臭气浓度能够满足《恶臭污染物排放标准》（GB 14554—93）相关限值要求，不会对周边居民造成明显异味影响。</w:t>
            </w:r>
          </w:p>
          <w:p w14:paraId="1456BCF7">
            <w:pPr>
              <w:ind w:firstLine="480"/>
              <w:rPr>
                <w:color w:val="auto"/>
              </w:rPr>
            </w:pPr>
            <w:r>
              <w:rPr>
                <w:color w:val="auto"/>
              </w:rPr>
              <w:t>天然气燃烧废气随熟制、炒制废气由集气罩收集，集气效率按90%计，经18 m高排气筒DA001排放。颗粒物、SO</w:t>
            </w:r>
            <w:r>
              <w:rPr>
                <w:rFonts w:hint="eastAsia"/>
                <w:color w:val="auto"/>
                <w:vertAlign w:val="subscript"/>
                <w:lang w:val="en-US" w:eastAsia="zh-CN"/>
              </w:rPr>
              <w:t>2</w:t>
            </w:r>
            <w:r>
              <w:rPr>
                <w:color w:val="auto"/>
              </w:rPr>
              <w:t>和NOx有组织排放量分别为0.00</w:t>
            </w:r>
            <w:r>
              <w:rPr>
                <w:rFonts w:hint="eastAsia"/>
                <w:color w:val="auto"/>
                <w:lang w:val="en-US" w:eastAsia="zh-CN"/>
              </w:rPr>
              <w:t>10</w:t>
            </w:r>
            <w:r>
              <w:rPr>
                <w:color w:val="auto"/>
              </w:rPr>
              <w:t>t/a、0.00</w:t>
            </w:r>
            <w:r>
              <w:rPr>
                <w:rFonts w:hint="eastAsia"/>
                <w:color w:val="auto"/>
                <w:lang w:val="en-US" w:eastAsia="zh-CN"/>
              </w:rPr>
              <w:t>07</w:t>
            </w:r>
            <w:r>
              <w:rPr>
                <w:color w:val="auto"/>
              </w:rPr>
              <w:t>t/a和0.0</w:t>
            </w:r>
            <w:r>
              <w:rPr>
                <w:rFonts w:hint="eastAsia"/>
                <w:color w:val="auto"/>
                <w:lang w:val="en-US" w:eastAsia="zh-CN"/>
              </w:rPr>
              <w:t>063</w:t>
            </w:r>
            <w:r>
              <w:rPr>
                <w:color w:val="auto"/>
              </w:rPr>
              <w:t>t/a，排放浓度分别约为0.0</w:t>
            </w:r>
            <w:r>
              <w:rPr>
                <w:rFonts w:hint="eastAsia"/>
                <w:color w:val="auto"/>
                <w:lang w:val="en-US" w:eastAsia="zh-CN"/>
              </w:rPr>
              <w:t>166</w:t>
            </w:r>
            <w:r>
              <w:rPr>
                <w:color w:val="auto"/>
              </w:rPr>
              <w:t xml:space="preserve"> mg/m</w:t>
            </w:r>
            <w:r>
              <w:rPr>
                <w:rFonts w:hint="eastAsia"/>
                <w:color w:val="auto"/>
                <w:vertAlign w:val="superscript"/>
                <w:lang w:val="en-US" w:eastAsia="zh-CN"/>
              </w:rPr>
              <w:t>3</w:t>
            </w:r>
            <w:r>
              <w:rPr>
                <w:color w:val="auto"/>
              </w:rPr>
              <w:t>、0.0</w:t>
            </w:r>
            <w:r>
              <w:rPr>
                <w:rFonts w:hint="eastAsia"/>
                <w:color w:val="auto"/>
                <w:lang w:val="en-US" w:eastAsia="zh-CN"/>
              </w:rPr>
              <w:t>116</w:t>
            </w:r>
            <w:r>
              <w:rPr>
                <w:color w:val="auto"/>
              </w:rPr>
              <w:t xml:space="preserve"> mg/m</w:t>
            </w:r>
            <w:r>
              <w:rPr>
                <w:rFonts w:hint="eastAsia"/>
                <w:color w:val="auto"/>
                <w:vertAlign w:val="superscript"/>
                <w:lang w:val="en-US" w:eastAsia="zh-CN"/>
              </w:rPr>
              <w:t>3</w:t>
            </w:r>
            <w:r>
              <w:rPr>
                <w:color w:val="auto"/>
              </w:rPr>
              <w:t>和0.</w:t>
            </w:r>
            <w:r>
              <w:rPr>
                <w:rFonts w:hint="eastAsia"/>
                <w:color w:val="auto"/>
                <w:lang w:val="en-US" w:eastAsia="zh-CN"/>
              </w:rPr>
              <w:t>1085</w:t>
            </w:r>
            <w:r>
              <w:rPr>
                <w:color w:val="auto"/>
              </w:rPr>
              <w:t>mg/m</w:t>
            </w:r>
            <w:r>
              <w:rPr>
                <w:rFonts w:hint="eastAsia"/>
                <w:color w:val="auto"/>
                <w:vertAlign w:val="superscript"/>
                <w:lang w:val="en-US" w:eastAsia="zh-CN"/>
              </w:rPr>
              <w:t>3</w:t>
            </w:r>
            <w:r>
              <w:rPr>
                <w:color w:val="auto"/>
              </w:rPr>
              <w:t>，能够满足《大气污染物综合排放标准》（GB 16297—1996）表2二级标准要求；未收集部分在熟制间内无组织排放，通过加强设备管理和车间通风降低其影响。</w:t>
            </w:r>
          </w:p>
          <w:p w14:paraId="6DB54DC2">
            <w:pPr>
              <w:ind w:firstLine="480"/>
              <w:rPr>
                <w:color w:val="auto"/>
              </w:rPr>
            </w:pPr>
            <w:r>
              <w:rPr>
                <w:color w:val="auto"/>
              </w:rPr>
              <w:t>本项目所属调味品制造行业目前无专门的行业卫生防护距离标准。参照《大气有害物质无组织排放卫生防护距离推导技术导则》（GB/T 39499—2020）及同类型复合调味品生产项目《泰兴新味乐食品有限公司年生产复合调味品10000吨、预制食品3500吨项目（一期）环境影响报告表》的评价结果，结合本项目无组织颗粒物、油烟及燃烧废气排放量较小的特点，本评价从环境管理和风险防范角度，建议以熟制间及主要生产车间边界外延50 m设置卫生防护距离。</w:t>
            </w:r>
          </w:p>
          <w:p w14:paraId="69C038F5">
            <w:pPr>
              <w:ind w:firstLine="480"/>
              <w:rPr>
                <w:color w:val="auto"/>
              </w:rPr>
            </w:pPr>
            <w:r>
              <w:rPr>
                <w:color w:val="auto"/>
              </w:rPr>
              <w:t>根据现场调查，本项目卫生防护距离范围内无居民区、学校、医院等环境敏感目标，最近居民点距项目厂界约350 m，位于建议卫生防护距离之外。因此，项目选址能够满足卫生防护距离要求；建议后续规划中在该范围内不得新建居民区、学校、医院等环境敏感建筑。</w:t>
            </w:r>
          </w:p>
          <w:p w14:paraId="5D067D0C">
            <w:pPr>
              <w:ind w:firstLine="480"/>
              <w:rPr>
                <w:color w:val="auto"/>
              </w:rPr>
            </w:pPr>
            <w:r>
              <w:rPr>
                <w:color w:val="auto"/>
              </w:rPr>
              <w:t>综上，项目通过设备密闭、规范操作、有效集气、油烟净化及高空排放等措施对各类废气进行控制，采取的废气污染防治措施具有可行性。</w:t>
            </w:r>
          </w:p>
          <w:p w14:paraId="68293A53">
            <w:pPr>
              <w:pStyle w:val="35"/>
              <w:rPr>
                <w:rFonts w:hint="default"/>
                <w:color w:val="auto"/>
              </w:rPr>
            </w:pPr>
            <w:r>
              <w:rPr>
                <w:color w:val="auto"/>
              </w:rPr>
              <w:t>表4-4 项目废气产生及污染防治措施一览表</w:t>
            </w:r>
          </w:p>
          <w:tbl>
            <w:tblPr>
              <w:tblStyle w:val="17"/>
              <w:tblW w:w="801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1037"/>
              <w:gridCol w:w="906"/>
              <w:gridCol w:w="2579"/>
              <w:gridCol w:w="2153"/>
            </w:tblGrid>
            <w:tr w14:paraId="0FDA2C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Borders>
                    <w:tl2br w:val="nil"/>
                    <w:tr2bl w:val="nil"/>
                  </w:tcBorders>
                  <w:vAlign w:val="center"/>
                </w:tcPr>
                <w:p w14:paraId="10AF62BD">
                  <w:pPr>
                    <w:pStyle w:val="33"/>
                    <w:rPr>
                      <w:color w:val="auto"/>
                    </w:rPr>
                  </w:pPr>
                  <w:r>
                    <w:rPr>
                      <w:rFonts w:hint="eastAsia"/>
                      <w:color w:val="auto"/>
                    </w:rPr>
                    <w:t>产污环节</w:t>
                  </w:r>
                </w:p>
              </w:tc>
              <w:tc>
                <w:tcPr>
                  <w:tcW w:w="1037" w:type="dxa"/>
                  <w:tcBorders>
                    <w:tl2br w:val="nil"/>
                    <w:tr2bl w:val="nil"/>
                  </w:tcBorders>
                  <w:vAlign w:val="center"/>
                </w:tcPr>
                <w:p w14:paraId="336BA54F">
                  <w:pPr>
                    <w:pStyle w:val="33"/>
                    <w:rPr>
                      <w:color w:val="auto"/>
                    </w:rPr>
                  </w:pPr>
                  <w:r>
                    <w:rPr>
                      <w:rFonts w:hint="eastAsia"/>
                      <w:color w:val="auto"/>
                    </w:rPr>
                    <w:t>污染物名称</w:t>
                  </w:r>
                </w:p>
              </w:tc>
              <w:tc>
                <w:tcPr>
                  <w:tcW w:w="906" w:type="dxa"/>
                  <w:tcBorders>
                    <w:tl2br w:val="nil"/>
                    <w:tr2bl w:val="nil"/>
                  </w:tcBorders>
                  <w:vAlign w:val="center"/>
                </w:tcPr>
                <w:p w14:paraId="43B18777">
                  <w:pPr>
                    <w:pStyle w:val="33"/>
                    <w:rPr>
                      <w:color w:val="auto"/>
                    </w:rPr>
                  </w:pPr>
                  <w:r>
                    <w:rPr>
                      <w:rFonts w:hint="eastAsia"/>
                      <w:color w:val="auto"/>
                    </w:rPr>
                    <w:t>排放方式</w:t>
                  </w:r>
                </w:p>
              </w:tc>
              <w:tc>
                <w:tcPr>
                  <w:tcW w:w="2579" w:type="dxa"/>
                  <w:tcBorders>
                    <w:tl2br w:val="nil"/>
                    <w:tr2bl w:val="nil"/>
                  </w:tcBorders>
                  <w:vAlign w:val="center"/>
                </w:tcPr>
                <w:p w14:paraId="0CA6A9D0">
                  <w:pPr>
                    <w:pStyle w:val="33"/>
                    <w:rPr>
                      <w:color w:val="auto"/>
                    </w:rPr>
                  </w:pPr>
                  <w:r>
                    <w:rPr>
                      <w:rFonts w:hint="eastAsia"/>
                      <w:color w:val="auto"/>
                    </w:rPr>
                    <w:t>污染防治措施</w:t>
                  </w:r>
                </w:p>
              </w:tc>
              <w:tc>
                <w:tcPr>
                  <w:tcW w:w="2153" w:type="dxa"/>
                  <w:tcBorders>
                    <w:tl2br w:val="nil"/>
                    <w:tr2bl w:val="nil"/>
                  </w:tcBorders>
                  <w:vAlign w:val="center"/>
                </w:tcPr>
                <w:p w14:paraId="70CD5246">
                  <w:pPr>
                    <w:pStyle w:val="33"/>
                    <w:rPr>
                      <w:color w:val="auto"/>
                    </w:rPr>
                  </w:pPr>
                  <w:r>
                    <w:rPr>
                      <w:rFonts w:hint="eastAsia"/>
                      <w:color w:val="auto"/>
                    </w:rPr>
                    <w:t>排放标准</w:t>
                  </w:r>
                </w:p>
              </w:tc>
            </w:tr>
            <w:tr w14:paraId="47682F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Borders>
                    <w:tl2br w:val="nil"/>
                    <w:tr2bl w:val="nil"/>
                  </w:tcBorders>
                  <w:vAlign w:val="center"/>
                </w:tcPr>
                <w:p w14:paraId="3FF2F1F4">
                  <w:pPr>
                    <w:pStyle w:val="33"/>
                    <w:rPr>
                      <w:color w:val="auto"/>
                    </w:rPr>
                  </w:pPr>
                  <w:r>
                    <w:rPr>
                      <w:color w:val="auto"/>
                    </w:rPr>
                    <w:t>粉碎、投料、调配混合、制粒及干燥</w:t>
                  </w:r>
                </w:p>
              </w:tc>
              <w:tc>
                <w:tcPr>
                  <w:tcW w:w="1037" w:type="dxa"/>
                  <w:tcBorders>
                    <w:tl2br w:val="nil"/>
                    <w:tr2bl w:val="nil"/>
                  </w:tcBorders>
                  <w:vAlign w:val="center"/>
                </w:tcPr>
                <w:p w14:paraId="6638E652">
                  <w:pPr>
                    <w:pStyle w:val="33"/>
                    <w:rPr>
                      <w:color w:val="auto"/>
                    </w:rPr>
                  </w:pPr>
                  <w:r>
                    <w:rPr>
                      <w:rFonts w:hint="eastAsia"/>
                      <w:color w:val="auto"/>
                    </w:rPr>
                    <w:t>颗粒物</w:t>
                  </w:r>
                </w:p>
              </w:tc>
              <w:tc>
                <w:tcPr>
                  <w:tcW w:w="906" w:type="dxa"/>
                  <w:tcBorders>
                    <w:tl2br w:val="nil"/>
                    <w:tr2bl w:val="nil"/>
                  </w:tcBorders>
                  <w:vAlign w:val="center"/>
                </w:tcPr>
                <w:p w14:paraId="2FE8B8F9">
                  <w:pPr>
                    <w:pStyle w:val="33"/>
                    <w:rPr>
                      <w:rFonts w:hint="eastAsia" w:eastAsia="宋体"/>
                      <w:color w:val="auto"/>
                      <w:lang w:eastAsia="zh-CN"/>
                    </w:rPr>
                  </w:pPr>
                  <w:r>
                    <w:rPr>
                      <w:rFonts w:hint="eastAsia"/>
                      <w:color w:val="auto"/>
                      <w:lang w:val="en-US" w:eastAsia="zh-CN"/>
                    </w:rPr>
                    <w:t>无组织</w:t>
                  </w:r>
                </w:p>
              </w:tc>
              <w:tc>
                <w:tcPr>
                  <w:tcW w:w="2579" w:type="dxa"/>
                  <w:tcBorders>
                    <w:tl2br w:val="nil"/>
                    <w:tr2bl w:val="nil"/>
                  </w:tcBorders>
                  <w:vAlign w:val="center"/>
                </w:tcPr>
                <w:p w14:paraId="0E0CF27D">
                  <w:pPr>
                    <w:pStyle w:val="33"/>
                    <w:rPr>
                      <w:color w:val="auto"/>
                    </w:rPr>
                  </w:pPr>
                  <w:r>
                    <w:rPr>
                      <w:color w:val="auto"/>
                    </w:rPr>
                    <w:t>采用密闭设备，规范投料操作，及时清扫并加强车间通风</w:t>
                  </w:r>
                </w:p>
              </w:tc>
              <w:tc>
                <w:tcPr>
                  <w:tcW w:w="2153" w:type="dxa"/>
                  <w:tcBorders>
                    <w:tl2br w:val="nil"/>
                    <w:tr2bl w:val="nil"/>
                  </w:tcBorders>
                  <w:vAlign w:val="center"/>
                </w:tcPr>
                <w:p w14:paraId="21BF6A92">
                  <w:pPr>
                    <w:pStyle w:val="33"/>
                    <w:rPr>
                      <w:color w:val="auto"/>
                    </w:rPr>
                  </w:pPr>
                  <w:r>
                    <w:rPr>
                      <w:color w:val="auto"/>
                    </w:rPr>
                    <w:t>《大气污染物综合排放标准》（GB 16297—1996）表2无组织排放监控浓度限值</w:t>
                  </w:r>
                </w:p>
              </w:tc>
            </w:tr>
            <w:tr w14:paraId="674F16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Borders>
                    <w:tl2br w:val="nil"/>
                    <w:tr2bl w:val="nil"/>
                  </w:tcBorders>
                  <w:vAlign w:val="center"/>
                </w:tcPr>
                <w:p w14:paraId="687439CC">
                  <w:pPr>
                    <w:pStyle w:val="33"/>
                    <w:rPr>
                      <w:color w:val="auto"/>
                    </w:rPr>
                  </w:pPr>
                  <w:r>
                    <w:rPr>
                      <w:color w:val="auto"/>
                    </w:rPr>
                    <w:t>熟制、炒制</w:t>
                  </w:r>
                </w:p>
              </w:tc>
              <w:tc>
                <w:tcPr>
                  <w:tcW w:w="1037" w:type="dxa"/>
                  <w:tcBorders>
                    <w:tl2br w:val="nil"/>
                    <w:tr2bl w:val="nil"/>
                  </w:tcBorders>
                  <w:vAlign w:val="center"/>
                </w:tcPr>
                <w:p w14:paraId="4DDA29DD">
                  <w:pPr>
                    <w:pStyle w:val="33"/>
                    <w:rPr>
                      <w:rFonts w:hint="eastAsia" w:eastAsia="宋体"/>
                      <w:color w:val="auto"/>
                      <w:lang w:eastAsia="zh-CN"/>
                    </w:rPr>
                  </w:pPr>
                  <w:r>
                    <w:rPr>
                      <w:rFonts w:hint="eastAsia"/>
                      <w:color w:val="auto"/>
                    </w:rPr>
                    <w:t>油烟、</w:t>
                  </w:r>
                  <w:r>
                    <w:rPr>
                      <w:rFonts w:hint="eastAsia"/>
                      <w:color w:val="auto"/>
                      <w:lang w:val="en-US" w:eastAsia="zh-CN"/>
                    </w:rPr>
                    <w:t>臭气浓度</w:t>
                  </w:r>
                </w:p>
              </w:tc>
              <w:tc>
                <w:tcPr>
                  <w:tcW w:w="906" w:type="dxa"/>
                  <w:tcBorders>
                    <w:tl2br w:val="nil"/>
                    <w:tr2bl w:val="nil"/>
                  </w:tcBorders>
                  <w:vAlign w:val="center"/>
                </w:tcPr>
                <w:p w14:paraId="4584EC8F">
                  <w:pPr>
                    <w:pStyle w:val="33"/>
                    <w:rPr>
                      <w:rFonts w:hint="eastAsia" w:eastAsia="宋体"/>
                      <w:color w:val="auto"/>
                      <w:lang w:eastAsia="zh-CN"/>
                    </w:rPr>
                  </w:pPr>
                  <w:r>
                    <w:rPr>
                      <w:rFonts w:hint="eastAsia"/>
                      <w:color w:val="auto"/>
                    </w:rPr>
                    <w:t>有</w:t>
                  </w:r>
                  <w:r>
                    <w:rPr>
                      <w:color w:val="auto"/>
                    </w:rPr>
                    <w:t>组织</w:t>
                  </w:r>
                  <w:r>
                    <w:rPr>
                      <w:rFonts w:hint="eastAsia"/>
                      <w:color w:val="auto"/>
                      <w:lang w:eastAsia="zh-CN"/>
                    </w:rPr>
                    <w:t>、</w:t>
                  </w:r>
                  <w:r>
                    <w:rPr>
                      <w:rFonts w:hint="eastAsia"/>
                      <w:color w:val="auto"/>
                      <w:lang w:val="en-US" w:eastAsia="zh-CN"/>
                    </w:rPr>
                    <w:t>无组织</w:t>
                  </w:r>
                </w:p>
              </w:tc>
              <w:tc>
                <w:tcPr>
                  <w:tcW w:w="2579" w:type="dxa"/>
                  <w:tcBorders>
                    <w:tl2br w:val="nil"/>
                    <w:tr2bl w:val="nil"/>
                  </w:tcBorders>
                  <w:vAlign w:val="center"/>
                </w:tcPr>
                <w:p w14:paraId="17740BA9">
                  <w:pPr>
                    <w:pStyle w:val="33"/>
                    <w:rPr>
                      <w:rFonts w:hint="eastAsia" w:eastAsia="宋体"/>
                      <w:color w:val="auto"/>
                      <w:lang w:eastAsia="zh-CN"/>
                    </w:rPr>
                  </w:pPr>
                  <w:r>
                    <w:rPr>
                      <w:color w:val="auto"/>
                    </w:rPr>
                    <w:t>油烟及异味经集气罩收集，收集效率90%；油烟经高效静电油烟净化设施处理，油烟净化效率95%，处理后通过18 m高排气筒DA001排放；未收集部分无组织排放</w:t>
                  </w:r>
                  <w:r>
                    <w:rPr>
                      <w:rFonts w:hint="eastAsia"/>
                      <w:color w:val="auto"/>
                      <w:lang w:eastAsia="zh-CN"/>
                    </w:rPr>
                    <w:t>。</w:t>
                  </w:r>
                </w:p>
              </w:tc>
              <w:tc>
                <w:tcPr>
                  <w:tcW w:w="2153" w:type="dxa"/>
                  <w:tcBorders>
                    <w:tl2br w:val="nil"/>
                    <w:tr2bl w:val="nil"/>
                  </w:tcBorders>
                  <w:vAlign w:val="center"/>
                </w:tcPr>
                <w:p w14:paraId="59F00079">
                  <w:pPr>
                    <w:pStyle w:val="33"/>
                    <w:rPr>
                      <w:color w:val="auto"/>
                    </w:rPr>
                  </w:pPr>
                  <w:r>
                    <w:rPr>
                      <w:color w:val="auto"/>
                    </w:rPr>
                    <w:t>油烟执行《饮食业油烟排放标准（试行）》（GB 18483—2001）；臭气浓度执行《恶臭污染物排放标准》（GB 14554—93）</w:t>
                  </w:r>
                </w:p>
              </w:tc>
            </w:tr>
            <w:tr w14:paraId="44CE41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Borders>
                    <w:tl2br w:val="nil"/>
                    <w:tr2bl w:val="nil"/>
                  </w:tcBorders>
                  <w:vAlign w:val="center"/>
                </w:tcPr>
                <w:p w14:paraId="603203D6">
                  <w:pPr>
                    <w:pStyle w:val="33"/>
                    <w:rPr>
                      <w:color w:val="auto"/>
                    </w:rPr>
                  </w:pPr>
                  <w:r>
                    <w:rPr>
                      <w:color w:val="auto"/>
                    </w:rPr>
                    <w:t>天然气燃烧</w:t>
                  </w:r>
                </w:p>
              </w:tc>
              <w:tc>
                <w:tcPr>
                  <w:tcW w:w="1037" w:type="dxa"/>
                  <w:tcBorders>
                    <w:tl2br w:val="nil"/>
                    <w:tr2bl w:val="nil"/>
                  </w:tcBorders>
                  <w:vAlign w:val="center"/>
                </w:tcPr>
                <w:p w14:paraId="79CA025A">
                  <w:pPr>
                    <w:pStyle w:val="33"/>
                    <w:rPr>
                      <w:color w:val="auto"/>
                    </w:rPr>
                  </w:pPr>
                  <w:r>
                    <w:rPr>
                      <w:color w:val="auto"/>
                    </w:rPr>
                    <w:t>颗粒物、SO</w:t>
                  </w:r>
                  <w:r>
                    <w:rPr>
                      <w:rFonts w:hint="eastAsia"/>
                      <w:color w:val="auto"/>
                      <w:vertAlign w:val="subscript"/>
                    </w:rPr>
                    <w:t>2</w:t>
                  </w:r>
                  <w:r>
                    <w:rPr>
                      <w:color w:val="auto"/>
                    </w:rPr>
                    <w:t>、NOx</w:t>
                  </w:r>
                </w:p>
              </w:tc>
              <w:tc>
                <w:tcPr>
                  <w:tcW w:w="906" w:type="dxa"/>
                  <w:tcBorders>
                    <w:tl2br w:val="nil"/>
                    <w:tr2bl w:val="nil"/>
                  </w:tcBorders>
                  <w:vAlign w:val="center"/>
                </w:tcPr>
                <w:p w14:paraId="55C94030">
                  <w:pPr>
                    <w:pStyle w:val="33"/>
                    <w:rPr>
                      <w:rFonts w:hint="eastAsia" w:eastAsia="宋体"/>
                      <w:color w:val="auto"/>
                      <w:lang w:eastAsia="zh-CN"/>
                    </w:rPr>
                  </w:pPr>
                  <w:r>
                    <w:rPr>
                      <w:rFonts w:hint="eastAsia"/>
                      <w:color w:val="auto"/>
                    </w:rPr>
                    <w:t>有组织</w:t>
                  </w:r>
                  <w:r>
                    <w:rPr>
                      <w:rFonts w:hint="eastAsia"/>
                      <w:color w:val="auto"/>
                      <w:lang w:eastAsia="zh-CN"/>
                    </w:rPr>
                    <w:t>、</w:t>
                  </w:r>
                  <w:r>
                    <w:rPr>
                      <w:rFonts w:hint="eastAsia"/>
                      <w:color w:val="auto"/>
                      <w:lang w:val="en-US" w:eastAsia="zh-CN"/>
                    </w:rPr>
                    <w:t>无组织</w:t>
                  </w:r>
                </w:p>
              </w:tc>
              <w:tc>
                <w:tcPr>
                  <w:tcW w:w="2579" w:type="dxa"/>
                  <w:tcBorders>
                    <w:tl2br w:val="nil"/>
                    <w:tr2bl w:val="nil"/>
                  </w:tcBorders>
                  <w:vAlign w:val="center"/>
                </w:tcPr>
                <w:p w14:paraId="24B05744">
                  <w:pPr>
                    <w:pStyle w:val="33"/>
                    <w:rPr>
                      <w:rFonts w:hint="eastAsia" w:eastAsia="宋体"/>
                      <w:color w:val="auto"/>
                      <w:lang w:eastAsia="zh-CN"/>
                    </w:rPr>
                  </w:pPr>
                  <w:r>
                    <w:rPr>
                      <w:color w:val="auto"/>
                    </w:rPr>
                    <w:t>燃烧废气经集气罩收集后通过18 m高排气筒DA001排放，收集效率90%；未收集部分在熟制间内无组织排放</w:t>
                  </w:r>
                  <w:r>
                    <w:rPr>
                      <w:rFonts w:hint="eastAsia"/>
                      <w:color w:val="auto"/>
                      <w:lang w:eastAsia="zh-CN"/>
                    </w:rPr>
                    <w:t>。</w:t>
                  </w:r>
                </w:p>
              </w:tc>
              <w:tc>
                <w:tcPr>
                  <w:tcW w:w="2153" w:type="dxa"/>
                  <w:tcBorders>
                    <w:tl2br w:val="nil"/>
                    <w:tr2bl w:val="nil"/>
                  </w:tcBorders>
                  <w:vAlign w:val="center"/>
                </w:tcPr>
                <w:p w14:paraId="1C109FC6">
                  <w:pPr>
                    <w:pStyle w:val="33"/>
                    <w:rPr>
                      <w:color w:val="auto"/>
                    </w:rPr>
                  </w:pPr>
                  <w:r>
                    <w:rPr>
                      <w:color w:val="auto"/>
                    </w:rPr>
                    <w:t>《大气污染物综合排放标准》（GB 16297—1996）表2二级标准及无组织排放要求</w:t>
                  </w:r>
                </w:p>
              </w:tc>
            </w:tr>
          </w:tbl>
          <w:p w14:paraId="37A54C6E">
            <w:pPr>
              <w:pStyle w:val="35"/>
              <w:rPr>
                <w:rFonts w:hint="default"/>
                <w:color w:val="auto"/>
              </w:rPr>
            </w:pPr>
            <w:r>
              <w:rPr>
                <w:color w:val="auto"/>
              </w:rPr>
              <w:t>表4-5 大气污染物年排放量核算</w:t>
            </w:r>
          </w:p>
          <w:tbl>
            <w:tblPr>
              <w:tblStyle w:val="17"/>
              <w:tblW w:w="801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316"/>
              <w:gridCol w:w="1892"/>
              <w:gridCol w:w="2403"/>
              <w:gridCol w:w="1603"/>
            </w:tblGrid>
            <w:tr w14:paraId="2E920A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tcBorders>
                    <w:tl2br w:val="nil"/>
                    <w:tr2bl w:val="nil"/>
                  </w:tcBorders>
                  <w:vAlign w:val="center"/>
                </w:tcPr>
                <w:p w14:paraId="5B71EFB3">
                  <w:pPr>
                    <w:pStyle w:val="33"/>
                    <w:rPr>
                      <w:color w:val="auto"/>
                    </w:rPr>
                  </w:pPr>
                  <w:r>
                    <w:rPr>
                      <w:rFonts w:hint="eastAsia"/>
                      <w:color w:val="auto"/>
                    </w:rPr>
                    <w:t>序号</w:t>
                  </w:r>
                </w:p>
              </w:tc>
              <w:tc>
                <w:tcPr>
                  <w:tcW w:w="1316" w:type="dxa"/>
                  <w:tcBorders>
                    <w:tl2br w:val="nil"/>
                    <w:tr2bl w:val="nil"/>
                  </w:tcBorders>
                  <w:vAlign w:val="center"/>
                </w:tcPr>
                <w:p w14:paraId="3D059AC4">
                  <w:pPr>
                    <w:pStyle w:val="33"/>
                    <w:rPr>
                      <w:color w:val="auto"/>
                    </w:rPr>
                  </w:pPr>
                  <w:r>
                    <w:rPr>
                      <w:rFonts w:hint="eastAsia"/>
                      <w:color w:val="auto"/>
                    </w:rPr>
                    <w:t>污染物</w:t>
                  </w:r>
                </w:p>
              </w:tc>
              <w:tc>
                <w:tcPr>
                  <w:tcW w:w="1892" w:type="dxa"/>
                  <w:tcBorders>
                    <w:tl2br w:val="nil"/>
                    <w:tr2bl w:val="nil"/>
                  </w:tcBorders>
                  <w:vAlign w:val="center"/>
                </w:tcPr>
                <w:p w14:paraId="1B0F2AE5">
                  <w:pPr>
                    <w:pStyle w:val="33"/>
                    <w:rPr>
                      <w:color w:val="auto"/>
                    </w:rPr>
                  </w:pPr>
                  <w:r>
                    <w:rPr>
                      <w:rFonts w:hint="eastAsia"/>
                      <w:color w:val="auto"/>
                    </w:rPr>
                    <w:t>有组织排放量/（t/a）</w:t>
                  </w:r>
                </w:p>
              </w:tc>
              <w:tc>
                <w:tcPr>
                  <w:tcW w:w="2403" w:type="dxa"/>
                  <w:tcBorders>
                    <w:tl2br w:val="nil"/>
                    <w:tr2bl w:val="nil"/>
                  </w:tcBorders>
                  <w:vAlign w:val="center"/>
                </w:tcPr>
                <w:p w14:paraId="2FED56EE">
                  <w:pPr>
                    <w:pStyle w:val="33"/>
                    <w:rPr>
                      <w:color w:val="auto"/>
                    </w:rPr>
                  </w:pPr>
                  <w:r>
                    <w:rPr>
                      <w:rFonts w:hint="eastAsia"/>
                      <w:color w:val="auto"/>
                    </w:rPr>
                    <w:t>无</w:t>
                  </w:r>
                  <w:r>
                    <w:rPr>
                      <w:color w:val="auto"/>
                    </w:rPr>
                    <w:t>组织排放量/（t/a）</w:t>
                  </w:r>
                </w:p>
              </w:tc>
              <w:tc>
                <w:tcPr>
                  <w:tcW w:w="1603" w:type="dxa"/>
                  <w:tcBorders>
                    <w:tl2br w:val="nil"/>
                    <w:tr2bl w:val="nil"/>
                  </w:tcBorders>
                  <w:vAlign w:val="center"/>
                </w:tcPr>
                <w:p w14:paraId="3F2CA3BB">
                  <w:pPr>
                    <w:pStyle w:val="33"/>
                    <w:rPr>
                      <w:color w:val="auto"/>
                    </w:rPr>
                  </w:pPr>
                  <w:r>
                    <w:rPr>
                      <w:rFonts w:hint="eastAsia"/>
                      <w:color w:val="auto"/>
                    </w:rPr>
                    <w:t>年排放量（t/a）</w:t>
                  </w:r>
                </w:p>
              </w:tc>
            </w:tr>
            <w:tr w14:paraId="331648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tcBorders>
                    <w:tl2br w:val="nil"/>
                    <w:tr2bl w:val="nil"/>
                  </w:tcBorders>
                  <w:vAlign w:val="center"/>
                </w:tcPr>
                <w:p w14:paraId="33A630F1">
                  <w:pPr>
                    <w:pStyle w:val="33"/>
                    <w:rPr>
                      <w:color w:val="auto"/>
                    </w:rPr>
                  </w:pPr>
                  <w:r>
                    <w:rPr>
                      <w:rFonts w:hint="eastAsia"/>
                      <w:color w:val="auto"/>
                    </w:rPr>
                    <w:t>1</w:t>
                  </w:r>
                </w:p>
              </w:tc>
              <w:tc>
                <w:tcPr>
                  <w:tcW w:w="1316" w:type="dxa"/>
                  <w:tcBorders>
                    <w:tl2br w:val="nil"/>
                    <w:tr2bl w:val="nil"/>
                  </w:tcBorders>
                  <w:vAlign w:val="center"/>
                </w:tcPr>
                <w:p w14:paraId="09B05C61">
                  <w:pPr>
                    <w:pStyle w:val="33"/>
                    <w:rPr>
                      <w:color w:val="auto"/>
                    </w:rPr>
                  </w:pPr>
                  <w:r>
                    <w:rPr>
                      <w:rFonts w:hint="eastAsia"/>
                      <w:color w:val="auto"/>
                    </w:rPr>
                    <w:t>SO</w:t>
                  </w:r>
                  <w:r>
                    <w:rPr>
                      <w:rFonts w:hint="eastAsia"/>
                      <w:color w:val="auto"/>
                      <w:vertAlign w:val="subscript"/>
                    </w:rPr>
                    <w:t>2</w:t>
                  </w:r>
                </w:p>
              </w:tc>
              <w:tc>
                <w:tcPr>
                  <w:tcW w:w="1892" w:type="dxa"/>
                  <w:tcBorders>
                    <w:tl2br w:val="nil"/>
                    <w:tr2bl w:val="nil"/>
                  </w:tcBorders>
                  <w:vAlign w:val="center"/>
                </w:tcPr>
                <w:p w14:paraId="4DD4AC03">
                  <w:pPr>
                    <w:pStyle w:val="33"/>
                    <w:rPr>
                      <w:rFonts w:hint="default" w:eastAsia="宋体"/>
                      <w:color w:val="auto"/>
                      <w:lang w:val="en-US" w:eastAsia="zh-CN"/>
                    </w:rPr>
                  </w:pPr>
                  <w:r>
                    <w:rPr>
                      <w:rFonts w:hint="eastAsia"/>
                      <w:color w:val="auto"/>
                      <w:lang w:val="en-US" w:eastAsia="zh-CN"/>
                    </w:rPr>
                    <w:t>0.0007</w:t>
                  </w:r>
                </w:p>
              </w:tc>
              <w:tc>
                <w:tcPr>
                  <w:tcW w:w="2403" w:type="dxa"/>
                  <w:tcBorders>
                    <w:tl2br w:val="nil"/>
                    <w:tr2bl w:val="nil"/>
                  </w:tcBorders>
                  <w:vAlign w:val="center"/>
                </w:tcPr>
                <w:p w14:paraId="72D7C076">
                  <w:pPr>
                    <w:pStyle w:val="33"/>
                    <w:rPr>
                      <w:rFonts w:hint="default" w:eastAsia="宋体"/>
                      <w:color w:val="auto"/>
                      <w:lang w:val="en-US" w:eastAsia="zh-CN"/>
                    </w:rPr>
                  </w:pPr>
                  <w:r>
                    <w:rPr>
                      <w:rFonts w:hint="eastAsia"/>
                      <w:color w:val="auto"/>
                      <w:lang w:val="en-US" w:eastAsia="zh-CN"/>
                    </w:rPr>
                    <w:t>＜0.0001</w:t>
                  </w:r>
                </w:p>
              </w:tc>
              <w:tc>
                <w:tcPr>
                  <w:tcW w:w="1603" w:type="dxa"/>
                  <w:tcBorders>
                    <w:tl2br w:val="nil"/>
                    <w:tr2bl w:val="nil"/>
                  </w:tcBorders>
                  <w:vAlign w:val="center"/>
                </w:tcPr>
                <w:p w14:paraId="59FF52BF">
                  <w:pPr>
                    <w:pStyle w:val="33"/>
                    <w:rPr>
                      <w:rFonts w:hint="default" w:eastAsia="宋体"/>
                      <w:color w:val="auto"/>
                      <w:lang w:val="en-US" w:eastAsia="zh-CN"/>
                    </w:rPr>
                  </w:pPr>
                  <w:r>
                    <w:rPr>
                      <w:rFonts w:hint="eastAsia"/>
                      <w:color w:val="auto"/>
                      <w:lang w:val="en-US" w:eastAsia="zh-CN"/>
                    </w:rPr>
                    <w:t>0.0007</w:t>
                  </w:r>
                </w:p>
              </w:tc>
            </w:tr>
            <w:tr w14:paraId="236693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tcBorders>
                    <w:tl2br w:val="nil"/>
                    <w:tr2bl w:val="nil"/>
                  </w:tcBorders>
                  <w:vAlign w:val="center"/>
                </w:tcPr>
                <w:p w14:paraId="78DB9134">
                  <w:pPr>
                    <w:pStyle w:val="33"/>
                    <w:rPr>
                      <w:color w:val="auto"/>
                    </w:rPr>
                  </w:pPr>
                  <w:r>
                    <w:rPr>
                      <w:rFonts w:hint="eastAsia"/>
                      <w:color w:val="auto"/>
                    </w:rPr>
                    <w:t>2</w:t>
                  </w:r>
                </w:p>
              </w:tc>
              <w:tc>
                <w:tcPr>
                  <w:tcW w:w="1316" w:type="dxa"/>
                  <w:tcBorders>
                    <w:tl2br w:val="nil"/>
                    <w:tr2bl w:val="nil"/>
                  </w:tcBorders>
                  <w:vAlign w:val="center"/>
                </w:tcPr>
                <w:p w14:paraId="1A5E7433">
                  <w:pPr>
                    <w:pStyle w:val="33"/>
                    <w:rPr>
                      <w:color w:val="auto"/>
                    </w:rPr>
                  </w:pPr>
                  <w:r>
                    <w:rPr>
                      <w:rFonts w:hint="eastAsia"/>
                      <w:color w:val="auto"/>
                    </w:rPr>
                    <w:t>NO</w:t>
                  </w:r>
                  <w:r>
                    <w:rPr>
                      <w:rFonts w:hint="eastAsia"/>
                      <w:color w:val="auto"/>
                      <w:vertAlign w:val="subscript"/>
                    </w:rPr>
                    <w:t>X</w:t>
                  </w:r>
                </w:p>
              </w:tc>
              <w:tc>
                <w:tcPr>
                  <w:tcW w:w="1892" w:type="dxa"/>
                  <w:tcBorders>
                    <w:tl2br w:val="nil"/>
                    <w:tr2bl w:val="nil"/>
                  </w:tcBorders>
                  <w:vAlign w:val="center"/>
                </w:tcPr>
                <w:p w14:paraId="349C8931">
                  <w:pPr>
                    <w:pStyle w:val="33"/>
                    <w:rPr>
                      <w:rFonts w:hint="default" w:eastAsia="宋体"/>
                      <w:color w:val="auto"/>
                      <w:lang w:val="en-US" w:eastAsia="zh-CN"/>
                    </w:rPr>
                  </w:pPr>
                  <w:r>
                    <w:rPr>
                      <w:rFonts w:hint="eastAsia"/>
                      <w:color w:val="auto"/>
                      <w:lang w:val="en-US" w:eastAsia="zh-CN"/>
                    </w:rPr>
                    <w:t>0.0063</w:t>
                  </w:r>
                </w:p>
              </w:tc>
              <w:tc>
                <w:tcPr>
                  <w:tcW w:w="2403" w:type="dxa"/>
                  <w:tcBorders>
                    <w:tl2br w:val="nil"/>
                    <w:tr2bl w:val="nil"/>
                  </w:tcBorders>
                  <w:vAlign w:val="center"/>
                </w:tcPr>
                <w:p w14:paraId="7447ED45">
                  <w:pPr>
                    <w:pStyle w:val="33"/>
                    <w:rPr>
                      <w:rFonts w:hint="default" w:eastAsia="宋体"/>
                      <w:color w:val="auto"/>
                      <w:lang w:val="en-US" w:eastAsia="zh-CN"/>
                    </w:rPr>
                  </w:pPr>
                  <w:r>
                    <w:rPr>
                      <w:rFonts w:hint="eastAsia"/>
                      <w:color w:val="auto"/>
                      <w:lang w:val="en-US" w:eastAsia="zh-CN"/>
                    </w:rPr>
                    <w:t>0.0007</w:t>
                  </w:r>
                </w:p>
              </w:tc>
              <w:tc>
                <w:tcPr>
                  <w:tcW w:w="1603" w:type="dxa"/>
                  <w:tcBorders>
                    <w:tl2br w:val="nil"/>
                    <w:tr2bl w:val="nil"/>
                  </w:tcBorders>
                  <w:vAlign w:val="center"/>
                </w:tcPr>
                <w:p w14:paraId="0666736B">
                  <w:pPr>
                    <w:pStyle w:val="33"/>
                    <w:rPr>
                      <w:rFonts w:hint="default" w:eastAsia="宋体"/>
                      <w:color w:val="auto"/>
                      <w:lang w:val="en-US" w:eastAsia="zh-CN"/>
                    </w:rPr>
                  </w:pPr>
                  <w:r>
                    <w:rPr>
                      <w:rFonts w:hint="eastAsia"/>
                      <w:color w:val="auto"/>
                      <w:lang w:val="en-US" w:eastAsia="zh-CN"/>
                    </w:rPr>
                    <w:t>0.0070</w:t>
                  </w:r>
                </w:p>
              </w:tc>
            </w:tr>
            <w:tr w14:paraId="7823CC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tcBorders>
                    <w:tl2br w:val="nil"/>
                    <w:tr2bl w:val="nil"/>
                  </w:tcBorders>
                  <w:vAlign w:val="center"/>
                </w:tcPr>
                <w:p w14:paraId="3130E354">
                  <w:pPr>
                    <w:pStyle w:val="33"/>
                    <w:rPr>
                      <w:color w:val="auto"/>
                    </w:rPr>
                  </w:pPr>
                  <w:r>
                    <w:rPr>
                      <w:rFonts w:hint="eastAsia"/>
                      <w:color w:val="auto"/>
                    </w:rPr>
                    <w:t>3</w:t>
                  </w:r>
                </w:p>
              </w:tc>
              <w:tc>
                <w:tcPr>
                  <w:tcW w:w="1316" w:type="dxa"/>
                  <w:tcBorders>
                    <w:tl2br w:val="nil"/>
                    <w:tr2bl w:val="nil"/>
                  </w:tcBorders>
                  <w:vAlign w:val="center"/>
                </w:tcPr>
                <w:p w14:paraId="3B8DE75B">
                  <w:pPr>
                    <w:pStyle w:val="33"/>
                    <w:rPr>
                      <w:color w:val="auto"/>
                    </w:rPr>
                  </w:pPr>
                  <w:r>
                    <w:rPr>
                      <w:rFonts w:hint="eastAsia"/>
                      <w:color w:val="auto"/>
                    </w:rPr>
                    <w:t>颗粒物</w:t>
                  </w:r>
                </w:p>
              </w:tc>
              <w:tc>
                <w:tcPr>
                  <w:tcW w:w="1892" w:type="dxa"/>
                  <w:tcBorders>
                    <w:tl2br w:val="nil"/>
                    <w:tr2bl w:val="nil"/>
                  </w:tcBorders>
                  <w:vAlign w:val="center"/>
                </w:tcPr>
                <w:p w14:paraId="4DF15FBB">
                  <w:pPr>
                    <w:pStyle w:val="33"/>
                    <w:rPr>
                      <w:rFonts w:hint="default" w:eastAsia="宋体"/>
                      <w:color w:val="auto"/>
                      <w:lang w:val="en-US" w:eastAsia="zh-CN"/>
                    </w:rPr>
                  </w:pPr>
                  <w:r>
                    <w:rPr>
                      <w:rFonts w:hint="eastAsia"/>
                      <w:color w:val="auto"/>
                      <w:lang w:val="en-US" w:eastAsia="zh-CN"/>
                    </w:rPr>
                    <w:t>0.0010</w:t>
                  </w:r>
                </w:p>
              </w:tc>
              <w:tc>
                <w:tcPr>
                  <w:tcW w:w="2403" w:type="dxa"/>
                  <w:tcBorders>
                    <w:tl2br w:val="nil"/>
                    <w:tr2bl w:val="nil"/>
                  </w:tcBorders>
                  <w:vAlign w:val="center"/>
                </w:tcPr>
                <w:p w14:paraId="3FF26253">
                  <w:pPr>
                    <w:pStyle w:val="33"/>
                    <w:rPr>
                      <w:rFonts w:hint="default" w:eastAsia="宋体"/>
                      <w:color w:val="auto"/>
                      <w:lang w:val="en-US" w:eastAsia="zh-CN"/>
                    </w:rPr>
                  </w:pPr>
                  <w:r>
                    <w:rPr>
                      <w:rFonts w:hint="eastAsia"/>
                      <w:color w:val="auto"/>
                      <w:lang w:val="en-US" w:eastAsia="zh-CN"/>
                    </w:rPr>
                    <w:t>0.0006</w:t>
                  </w:r>
                </w:p>
              </w:tc>
              <w:tc>
                <w:tcPr>
                  <w:tcW w:w="1603" w:type="dxa"/>
                  <w:tcBorders>
                    <w:tl2br w:val="nil"/>
                    <w:tr2bl w:val="nil"/>
                  </w:tcBorders>
                  <w:vAlign w:val="center"/>
                </w:tcPr>
                <w:p w14:paraId="50B2D860">
                  <w:pPr>
                    <w:pStyle w:val="33"/>
                    <w:rPr>
                      <w:rFonts w:hint="default" w:eastAsia="宋体"/>
                      <w:color w:val="auto"/>
                      <w:lang w:val="en-US" w:eastAsia="zh-CN"/>
                    </w:rPr>
                  </w:pPr>
                  <w:r>
                    <w:rPr>
                      <w:rFonts w:hint="eastAsia"/>
                      <w:color w:val="auto"/>
                      <w:lang w:val="en-US" w:eastAsia="zh-CN"/>
                    </w:rPr>
                    <w:t>0.0016</w:t>
                  </w:r>
                </w:p>
              </w:tc>
            </w:tr>
            <w:tr w14:paraId="514912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tcBorders>
                    <w:tl2br w:val="nil"/>
                    <w:tr2bl w:val="nil"/>
                  </w:tcBorders>
                  <w:vAlign w:val="center"/>
                </w:tcPr>
                <w:p w14:paraId="107BF841">
                  <w:pPr>
                    <w:pStyle w:val="33"/>
                    <w:rPr>
                      <w:color w:val="auto"/>
                    </w:rPr>
                  </w:pPr>
                  <w:r>
                    <w:rPr>
                      <w:rFonts w:hint="eastAsia"/>
                      <w:color w:val="auto"/>
                    </w:rPr>
                    <w:t>4</w:t>
                  </w:r>
                </w:p>
              </w:tc>
              <w:tc>
                <w:tcPr>
                  <w:tcW w:w="1316" w:type="dxa"/>
                  <w:tcBorders>
                    <w:tl2br w:val="nil"/>
                    <w:tr2bl w:val="nil"/>
                  </w:tcBorders>
                  <w:vAlign w:val="center"/>
                </w:tcPr>
                <w:p w14:paraId="7EEF9047">
                  <w:pPr>
                    <w:pStyle w:val="33"/>
                    <w:rPr>
                      <w:color w:val="auto"/>
                    </w:rPr>
                  </w:pPr>
                  <w:r>
                    <w:rPr>
                      <w:rFonts w:hint="eastAsia"/>
                      <w:color w:val="auto"/>
                    </w:rPr>
                    <w:t>油烟</w:t>
                  </w:r>
                </w:p>
              </w:tc>
              <w:tc>
                <w:tcPr>
                  <w:tcW w:w="1892" w:type="dxa"/>
                  <w:tcBorders>
                    <w:tl2br w:val="nil"/>
                    <w:tr2bl w:val="nil"/>
                  </w:tcBorders>
                  <w:vAlign w:val="center"/>
                </w:tcPr>
                <w:p w14:paraId="477EFC9D">
                  <w:pPr>
                    <w:pStyle w:val="33"/>
                    <w:rPr>
                      <w:rFonts w:hint="default" w:eastAsia="宋体"/>
                      <w:color w:val="auto"/>
                      <w:lang w:val="en-US" w:eastAsia="zh-CN"/>
                    </w:rPr>
                  </w:pPr>
                  <w:r>
                    <w:rPr>
                      <w:rFonts w:hint="eastAsia"/>
                      <w:color w:val="auto"/>
                      <w:lang w:val="en-US" w:eastAsia="zh-CN"/>
                    </w:rPr>
                    <w:t>0.0116</w:t>
                  </w:r>
                </w:p>
              </w:tc>
              <w:tc>
                <w:tcPr>
                  <w:tcW w:w="2403" w:type="dxa"/>
                  <w:tcBorders>
                    <w:tl2br w:val="nil"/>
                    <w:tr2bl w:val="nil"/>
                  </w:tcBorders>
                  <w:vAlign w:val="center"/>
                </w:tcPr>
                <w:p w14:paraId="6DADE095">
                  <w:pPr>
                    <w:pStyle w:val="33"/>
                    <w:rPr>
                      <w:rFonts w:hint="default" w:eastAsia="宋体"/>
                      <w:color w:val="auto"/>
                      <w:lang w:val="en-US" w:eastAsia="zh-CN"/>
                    </w:rPr>
                  </w:pPr>
                  <w:r>
                    <w:rPr>
                      <w:rFonts w:hint="eastAsia"/>
                      <w:color w:val="auto"/>
                      <w:lang w:val="en-US" w:eastAsia="zh-CN"/>
                    </w:rPr>
                    <w:t>0.0258</w:t>
                  </w:r>
                </w:p>
              </w:tc>
              <w:tc>
                <w:tcPr>
                  <w:tcW w:w="1603" w:type="dxa"/>
                  <w:tcBorders>
                    <w:tl2br w:val="nil"/>
                    <w:tr2bl w:val="nil"/>
                  </w:tcBorders>
                  <w:vAlign w:val="center"/>
                </w:tcPr>
                <w:p w14:paraId="428DB442">
                  <w:pPr>
                    <w:pStyle w:val="33"/>
                    <w:rPr>
                      <w:rFonts w:hint="default" w:eastAsia="宋体"/>
                      <w:color w:val="auto"/>
                      <w:lang w:val="en-US" w:eastAsia="zh-CN"/>
                    </w:rPr>
                  </w:pPr>
                  <w:r>
                    <w:rPr>
                      <w:rFonts w:hint="eastAsia"/>
                      <w:color w:val="auto"/>
                      <w:lang w:val="en-US" w:eastAsia="zh-CN"/>
                    </w:rPr>
                    <w:t>0.0374</w:t>
                  </w:r>
                </w:p>
              </w:tc>
            </w:tr>
          </w:tbl>
          <w:p w14:paraId="7B643A76">
            <w:pPr>
              <w:ind w:firstLine="482"/>
              <w:rPr>
                <w:color w:val="auto"/>
              </w:rPr>
            </w:pPr>
            <w:r>
              <w:rPr>
                <w:rFonts w:hint="eastAsia"/>
                <w:b/>
                <w:bCs/>
                <w:color w:val="auto"/>
              </w:rPr>
              <w:t>（4）大气环境影响分析</w:t>
            </w:r>
          </w:p>
          <w:p w14:paraId="0CA25251">
            <w:pPr>
              <w:ind w:firstLine="480"/>
              <w:rPr>
                <w:color w:val="auto"/>
              </w:rPr>
            </w:pPr>
            <w:r>
              <w:rPr>
                <w:color w:val="auto"/>
              </w:rPr>
              <w:t>本项目运营期废气主要包括工艺粉尘、熟制及炒制油烟和异味，以及天然气燃烧产生的颗粒物、SO</w:t>
            </w:r>
            <w:r>
              <w:rPr>
                <w:rFonts w:hint="eastAsia"/>
                <w:color w:val="auto"/>
                <w:vertAlign w:val="subscript"/>
                <w:lang w:val="en-US" w:eastAsia="zh-CN"/>
              </w:rPr>
              <w:t>2</w:t>
            </w:r>
            <w:r>
              <w:rPr>
                <w:color w:val="auto"/>
              </w:rPr>
              <w:t>和NOx。</w:t>
            </w:r>
          </w:p>
          <w:p w14:paraId="7E3DA454">
            <w:pPr>
              <w:ind w:firstLine="480"/>
              <w:rPr>
                <w:color w:val="auto"/>
              </w:rPr>
            </w:pPr>
            <w:r>
              <w:rPr>
                <w:color w:val="auto"/>
              </w:rPr>
              <w:t>粉碎、投料、调配混合、制粒及干燥等工序颗粒物产生量约为0.0005 t/a，产生量较小。项目采用密闭设备，并通过规范投料、及时清扫和加强车间通风等措施减少粉尘逸散，颗粒物按无组织排放考虑，厂界浓度能够满足《大气污染物综合排放标准》（GB 16297—1996）表2无组织排放监控浓度限值要求。</w:t>
            </w:r>
          </w:p>
          <w:p w14:paraId="4F166E69">
            <w:pPr>
              <w:ind w:firstLine="480"/>
              <w:rPr>
                <w:color w:val="auto"/>
              </w:rPr>
            </w:pPr>
            <w:r>
              <w:rPr>
                <w:color w:val="auto"/>
              </w:rPr>
              <w:t>熟制、炒制油烟经半密闭集气罩收集后进入高效静电油烟净化设施处理，集气效率按90%、净化效率按95%计，设计风量为25000 m</w:t>
            </w:r>
            <w:r>
              <w:rPr>
                <w:rFonts w:hint="eastAsia"/>
                <w:color w:val="auto"/>
                <w:vertAlign w:val="superscript"/>
                <w:lang w:val="en-US" w:eastAsia="zh-CN"/>
              </w:rPr>
              <w:t>3</w:t>
            </w:r>
            <w:r>
              <w:rPr>
                <w:color w:val="auto"/>
              </w:rPr>
              <w:t>/h。经处理后，油烟有组织排放量为0.0116 t/a、排放速率为0.0050 kg/h、排放浓度为0.2000 mg/m</w:t>
            </w:r>
            <w:r>
              <w:rPr>
                <w:rFonts w:hint="eastAsia"/>
                <w:color w:val="auto"/>
                <w:vertAlign w:val="superscript"/>
                <w:lang w:val="en-US" w:eastAsia="zh-CN"/>
              </w:rPr>
              <w:t>3</w:t>
            </w:r>
            <w:r>
              <w:rPr>
                <w:color w:val="auto"/>
              </w:rPr>
              <w:t>，通过18 m高排气筒DA001排放；未收集油烟无组织排放量为0.0258 t/a。油烟排放浓度能够满足《饮食业油烟排放标准（试行）》（GB 18483—2001）规定的2.0 mg/m</w:t>
            </w:r>
            <w:r>
              <w:rPr>
                <w:rFonts w:hint="eastAsia"/>
                <w:color w:val="auto"/>
                <w:vertAlign w:val="superscript"/>
                <w:lang w:val="en-US" w:eastAsia="zh-CN"/>
              </w:rPr>
              <w:t>3</w:t>
            </w:r>
            <w:r>
              <w:rPr>
                <w:color w:val="auto"/>
              </w:rPr>
              <w:t>限值要求。</w:t>
            </w:r>
          </w:p>
          <w:p w14:paraId="61569A54">
            <w:pPr>
              <w:ind w:firstLine="480"/>
              <w:rPr>
                <w:color w:val="auto"/>
              </w:rPr>
            </w:pPr>
            <w:r>
              <w:rPr>
                <w:color w:val="auto"/>
              </w:rPr>
              <w:t>熟制、炒制过程中同时产生少量食品加工异味，以臭气浓度表征，不作定量核算。异味与油烟一并收集并通过DA001排放，油烟净化设施对异味的去除效率不作定量考虑；未收集异味在熟制间内无组织排放。类比同类型复合调味品项目，在加强废气收集、车间通风、设备清洗和食品残渣清理的情况下，异味影响较小。项目最近居民点距厂界约350 m，预计排气筒及厂界臭气浓度能够满足《恶臭污染物排放标准》（GB 14554—93）要求。</w:t>
            </w:r>
          </w:p>
          <w:p w14:paraId="0C3729D9">
            <w:pPr>
              <w:ind w:firstLine="480"/>
              <w:rPr>
                <w:color w:val="auto"/>
              </w:rPr>
            </w:pPr>
            <w:r>
              <w:rPr>
                <w:color w:val="auto"/>
              </w:rPr>
              <w:t>天然气燃烧废气收集效率按90%计，经18 m高排气筒DA001排放。颗粒物、SO</w:t>
            </w:r>
            <w:r>
              <w:rPr>
                <w:rFonts w:hint="eastAsia"/>
                <w:color w:val="auto"/>
                <w:vertAlign w:val="subscript"/>
                <w:lang w:val="en-US" w:eastAsia="zh-CN"/>
              </w:rPr>
              <w:t>2</w:t>
            </w:r>
            <w:r>
              <w:rPr>
                <w:color w:val="auto"/>
              </w:rPr>
              <w:t>和NOx有组织排放量分别为0.0010 t/a、0.0007 t/a和0.0063 t/a，排放浓度分别为0.0166 mg/m</w:t>
            </w:r>
            <w:r>
              <w:rPr>
                <w:rFonts w:hint="eastAsia"/>
                <w:color w:val="auto"/>
                <w:vertAlign w:val="superscript"/>
                <w:lang w:val="en-US" w:eastAsia="zh-CN"/>
              </w:rPr>
              <w:t>3</w:t>
            </w:r>
            <w:r>
              <w:rPr>
                <w:color w:val="auto"/>
              </w:rPr>
              <w:t>、0.0116 mg/m</w:t>
            </w:r>
            <w:r>
              <w:rPr>
                <w:rFonts w:hint="eastAsia"/>
                <w:color w:val="auto"/>
                <w:vertAlign w:val="superscript"/>
                <w:lang w:val="en-US" w:eastAsia="zh-CN"/>
              </w:rPr>
              <w:t>3</w:t>
            </w:r>
            <w:r>
              <w:rPr>
                <w:color w:val="auto"/>
              </w:rPr>
              <w:t>和0.1085 mg/m</w:t>
            </w:r>
            <w:r>
              <w:rPr>
                <w:rFonts w:hint="eastAsia"/>
                <w:color w:val="auto"/>
                <w:vertAlign w:val="superscript"/>
                <w:lang w:val="en-US" w:eastAsia="zh-CN"/>
              </w:rPr>
              <w:t>3</w:t>
            </w:r>
            <w:r>
              <w:rPr>
                <w:color w:val="auto"/>
              </w:rPr>
              <w:t>，均能够满足《大气污染物综合排放标准》（GB 16297—1996）表2二级标准要求；未收集部分在熟制间内无组织排放。</w:t>
            </w:r>
          </w:p>
          <w:p w14:paraId="6E6891F2">
            <w:pPr>
              <w:ind w:firstLine="480"/>
              <w:rPr>
                <w:color w:val="auto"/>
              </w:rPr>
            </w:pPr>
            <w:r>
              <w:rPr>
                <w:color w:val="auto"/>
              </w:rPr>
              <w:t>本项目所属行业无专门的卫生防护距离标准。参照《大气有害物质无组织排放卫生防护距离推导技术导则》（GB/T 39499—2020）及同类型项目评价结果，建议以熟制间及主要生产车间边界外延50 m设置卫生防护距离。该范围内无居民区、学校和医院等环境敏感目标，项目选址能够满足要求。</w:t>
            </w:r>
          </w:p>
          <w:p w14:paraId="1A3A3668">
            <w:pPr>
              <w:ind w:firstLine="480"/>
              <w:rPr>
                <w:color w:val="auto"/>
              </w:rPr>
            </w:pPr>
            <w:r>
              <w:rPr>
                <w:color w:val="auto"/>
              </w:rPr>
              <w:t>综上，项目采取设备密闭、规范操作、集气收集、静电油烟净化、车间通风及高空排放等措施后，各类废气能够达标排放，污染防治措施可行，对周围环境影响较小。</w:t>
            </w:r>
          </w:p>
          <w:p w14:paraId="0053861A">
            <w:pPr>
              <w:ind w:firstLine="482"/>
              <w:rPr>
                <w:b/>
                <w:bCs/>
                <w:color w:val="auto"/>
              </w:rPr>
            </w:pPr>
            <w:r>
              <w:rPr>
                <w:rFonts w:hint="eastAsia"/>
                <w:b/>
                <w:bCs/>
                <w:color w:val="auto"/>
              </w:rPr>
              <w:t>（5）排气筒高度设置合理性分析</w:t>
            </w:r>
          </w:p>
          <w:p w14:paraId="1F4C4F64">
            <w:pPr>
              <w:pStyle w:val="7"/>
              <w:ind w:firstLine="480"/>
              <w:rPr>
                <w:rFonts w:ascii="Times New Roman" w:hAnsi="Times New Roman" w:cs="Times New Roman"/>
                <w:color w:val="auto"/>
                <w:lang w:val="en-US"/>
              </w:rPr>
            </w:pPr>
            <w:r>
              <w:rPr>
                <w:rFonts w:ascii="Times New Roman" w:hAnsi="Times New Roman" w:cs="Times New Roman"/>
                <w:color w:val="auto"/>
                <w:lang w:val="en-US"/>
              </w:rPr>
              <w:t>本项目仅设置1根废气排气筒，即DA001。熟制、炒制过程产生的油烟、食品加工异味及天然气燃烧废气经收集处理后，通过18 m高排气筒DA001排放；粉碎、投料、调配混合、制粒及干燥等工序颗粒物均按无组织排放核算。</w:t>
            </w:r>
          </w:p>
          <w:p w14:paraId="4D8E6ECB">
            <w:pPr>
              <w:pStyle w:val="7"/>
              <w:ind w:firstLine="480"/>
              <w:rPr>
                <w:rFonts w:ascii="Times New Roman" w:hAnsi="Times New Roman" w:cs="Times New Roman"/>
                <w:color w:val="auto"/>
                <w:lang w:val="en-US"/>
              </w:rPr>
            </w:pPr>
            <w:r>
              <w:rPr>
                <w:rFonts w:ascii="Times New Roman" w:hAnsi="Times New Roman" w:cs="Times New Roman"/>
                <w:color w:val="auto"/>
                <w:lang w:val="en-US"/>
              </w:rPr>
              <w:t>根据《大气污染物综合排放标准》（GB 16297-1996）有关要求，新污染源排气筒一般不应低于15 m，同时排气筒高度还应高出周围200 m半径范围内建筑物5m以上。</w:t>
            </w:r>
          </w:p>
          <w:p w14:paraId="26F1629F">
            <w:pPr>
              <w:pStyle w:val="7"/>
              <w:ind w:firstLine="480"/>
              <w:rPr>
                <w:rFonts w:ascii="Times New Roman" w:hAnsi="Times New Roman" w:cs="Times New Roman"/>
                <w:color w:val="auto"/>
                <w:lang w:val="en-US"/>
              </w:rPr>
            </w:pPr>
            <w:r>
              <w:rPr>
                <w:rFonts w:ascii="Times New Roman" w:hAnsi="Times New Roman" w:cs="Times New Roman"/>
                <w:color w:val="auto"/>
                <w:lang w:val="en-US"/>
              </w:rPr>
              <w:t>经现场调查，DA001周围200 m范围内最高建筑物为本项目厂房，高度约12.6 m，无高于13 m的其他建筑物。DA001排气筒高度为18 m，高出最高建筑物约5.4 m，同时满足不低于15 m及高出周边建筑物5 m以上的要求，因此无需对排放速率限值严格50%执行。</w:t>
            </w:r>
          </w:p>
          <w:p w14:paraId="334AD202">
            <w:pPr>
              <w:pStyle w:val="7"/>
              <w:ind w:firstLine="480"/>
              <w:rPr>
                <w:rFonts w:ascii="Times New Roman" w:hAnsi="Times New Roman" w:cs="Times New Roman"/>
                <w:color w:val="auto"/>
                <w:lang w:val="en-US"/>
              </w:rPr>
            </w:pPr>
            <w:r>
              <w:rPr>
                <w:rFonts w:ascii="Times New Roman" w:hAnsi="Times New Roman" w:cs="Times New Roman"/>
                <w:color w:val="auto"/>
                <w:lang w:val="en-US"/>
              </w:rPr>
              <w:t>本项目所在地海拔高度约111.6 m，排气筒顶部海拔高度约129.6 m，低于柳州白莲机场净空保护控制高度142 m。综上，DA001排气筒高度设置合理。</w:t>
            </w:r>
          </w:p>
          <w:p w14:paraId="69D97CB7">
            <w:pPr>
              <w:ind w:firstLine="482"/>
              <w:rPr>
                <w:color w:val="auto"/>
              </w:rPr>
            </w:pPr>
            <w:r>
              <w:rPr>
                <w:rFonts w:hint="eastAsia"/>
                <w:b/>
                <w:bCs/>
                <w:color w:val="auto"/>
              </w:rPr>
              <w:t>（6）废气自行监测方案</w:t>
            </w:r>
          </w:p>
          <w:p w14:paraId="5792777C">
            <w:pPr>
              <w:ind w:firstLine="480"/>
              <w:rPr>
                <w:color w:val="auto"/>
              </w:rPr>
            </w:pPr>
            <w:r>
              <w:rPr>
                <w:color w:val="auto"/>
              </w:rPr>
              <w:t>参照《排污单位自行监测技术指南 总则》（HJ819-2017）、《排污单位自行监测技术指南 食品制造》（HJ1084-2020），制定本项目监测计划。其监测内容如下表所示：</w:t>
            </w:r>
          </w:p>
          <w:p w14:paraId="28FEA551">
            <w:pPr>
              <w:pStyle w:val="35"/>
              <w:rPr>
                <w:rFonts w:hint="default"/>
                <w:color w:val="auto"/>
              </w:rPr>
            </w:pPr>
            <w:r>
              <w:rPr>
                <w:color w:val="auto"/>
              </w:rPr>
              <w:t>表4-6 建设项目运营期废气自行监测方案一览表</w:t>
            </w:r>
          </w:p>
          <w:tbl>
            <w:tblPr>
              <w:tblStyle w:val="17"/>
              <w:tblW w:w="8007"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36"/>
              <w:gridCol w:w="2495"/>
              <w:gridCol w:w="2501"/>
              <w:gridCol w:w="1275"/>
            </w:tblGrid>
            <w:tr w14:paraId="30D0DE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36" w:type="dxa"/>
                  <w:tcBorders>
                    <w:tl2br w:val="nil"/>
                    <w:tr2bl w:val="nil"/>
                  </w:tcBorders>
                  <w:vAlign w:val="center"/>
                </w:tcPr>
                <w:p w14:paraId="4C18E306">
                  <w:pPr>
                    <w:pStyle w:val="33"/>
                    <w:rPr>
                      <w:color w:val="auto"/>
                    </w:rPr>
                  </w:pPr>
                  <w:r>
                    <w:rPr>
                      <w:rFonts w:hint="eastAsia"/>
                      <w:color w:val="auto"/>
                    </w:rPr>
                    <w:t>类别</w:t>
                  </w:r>
                </w:p>
              </w:tc>
              <w:tc>
                <w:tcPr>
                  <w:tcW w:w="2495" w:type="dxa"/>
                  <w:tcBorders>
                    <w:tl2br w:val="nil"/>
                    <w:tr2bl w:val="nil"/>
                  </w:tcBorders>
                  <w:vAlign w:val="center"/>
                </w:tcPr>
                <w:p w14:paraId="71CA4BC5">
                  <w:pPr>
                    <w:pStyle w:val="33"/>
                    <w:rPr>
                      <w:color w:val="auto"/>
                    </w:rPr>
                  </w:pPr>
                  <w:r>
                    <w:rPr>
                      <w:rFonts w:hint="eastAsia"/>
                      <w:color w:val="auto"/>
                    </w:rPr>
                    <w:t>监测点位</w:t>
                  </w:r>
                </w:p>
              </w:tc>
              <w:tc>
                <w:tcPr>
                  <w:tcW w:w="2501" w:type="dxa"/>
                  <w:tcBorders>
                    <w:tl2br w:val="nil"/>
                    <w:tr2bl w:val="nil"/>
                  </w:tcBorders>
                  <w:vAlign w:val="center"/>
                </w:tcPr>
                <w:p w14:paraId="78C9C8A9">
                  <w:pPr>
                    <w:pStyle w:val="33"/>
                    <w:rPr>
                      <w:color w:val="auto"/>
                    </w:rPr>
                  </w:pPr>
                  <w:r>
                    <w:rPr>
                      <w:rFonts w:hint="eastAsia"/>
                      <w:color w:val="auto"/>
                    </w:rPr>
                    <w:t>监测因子</w:t>
                  </w:r>
                </w:p>
              </w:tc>
              <w:tc>
                <w:tcPr>
                  <w:tcW w:w="1275" w:type="dxa"/>
                  <w:tcBorders>
                    <w:tl2br w:val="nil"/>
                    <w:tr2bl w:val="nil"/>
                  </w:tcBorders>
                  <w:vAlign w:val="center"/>
                </w:tcPr>
                <w:p w14:paraId="70240496">
                  <w:pPr>
                    <w:pStyle w:val="33"/>
                    <w:rPr>
                      <w:color w:val="auto"/>
                    </w:rPr>
                  </w:pPr>
                  <w:r>
                    <w:rPr>
                      <w:rFonts w:hint="eastAsia"/>
                      <w:color w:val="auto"/>
                    </w:rPr>
                    <w:t>监测频次</w:t>
                  </w:r>
                </w:p>
              </w:tc>
            </w:tr>
            <w:tr w14:paraId="7F0116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36" w:type="dxa"/>
                  <w:tcBorders>
                    <w:tl2br w:val="nil"/>
                    <w:tr2bl w:val="nil"/>
                  </w:tcBorders>
                  <w:vAlign w:val="center"/>
                </w:tcPr>
                <w:p w14:paraId="58008FD4">
                  <w:pPr>
                    <w:pStyle w:val="33"/>
                    <w:rPr>
                      <w:color w:val="auto"/>
                    </w:rPr>
                  </w:pPr>
                  <w:r>
                    <w:rPr>
                      <w:rFonts w:hint="eastAsia"/>
                      <w:color w:val="auto"/>
                    </w:rPr>
                    <w:t>厂界无组织</w:t>
                  </w:r>
                </w:p>
              </w:tc>
              <w:tc>
                <w:tcPr>
                  <w:tcW w:w="2495" w:type="dxa"/>
                  <w:tcBorders>
                    <w:tl2br w:val="nil"/>
                    <w:tr2bl w:val="nil"/>
                  </w:tcBorders>
                  <w:vAlign w:val="center"/>
                </w:tcPr>
                <w:p w14:paraId="289A8FAF">
                  <w:pPr>
                    <w:pStyle w:val="33"/>
                    <w:rPr>
                      <w:color w:val="auto"/>
                    </w:rPr>
                  </w:pPr>
                  <w:r>
                    <w:rPr>
                      <w:rFonts w:hint="eastAsia"/>
                      <w:color w:val="auto"/>
                    </w:rPr>
                    <w:t>厂界上风向1个点、下风向3个点</w:t>
                  </w:r>
                </w:p>
              </w:tc>
              <w:tc>
                <w:tcPr>
                  <w:tcW w:w="2501" w:type="dxa"/>
                  <w:tcBorders>
                    <w:tl2br w:val="nil"/>
                    <w:tr2bl w:val="nil"/>
                  </w:tcBorders>
                  <w:vAlign w:val="center"/>
                </w:tcPr>
                <w:p w14:paraId="4C86F3FB">
                  <w:pPr>
                    <w:pStyle w:val="33"/>
                    <w:rPr>
                      <w:rFonts w:hint="default" w:eastAsia="宋体"/>
                      <w:color w:val="auto"/>
                      <w:lang w:val="en-US" w:eastAsia="zh-CN"/>
                    </w:rPr>
                  </w:pPr>
                  <w:r>
                    <w:rPr>
                      <w:rFonts w:hint="eastAsia"/>
                      <w:color w:val="auto"/>
                    </w:rPr>
                    <w:t>颗粒物</w:t>
                  </w:r>
                  <w:r>
                    <w:rPr>
                      <w:rFonts w:hint="eastAsia"/>
                      <w:color w:val="auto"/>
                      <w:lang w:eastAsia="zh-CN"/>
                    </w:rPr>
                    <w:t>、</w:t>
                  </w:r>
                  <w:r>
                    <w:rPr>
                      <w:rFonts w:hint="eastAsia"/>
                      <w:color w:val="auto"/>
                      <w:lang w:val="en-US" w:eastAsia="zh-CN"/>
                    </w:rPr>
                    <w:t>臭气浓度</w:t>
                  </w:r>
                </w:p>
              </w:tc>
              <w:tc>
                <w:tcPr>
                  <w:tcW w:w="1275" w:type="dxa"/>
                  <w:tcBorders>
                    <w:tl2br w:val="nil"/>
                    <w:tr2bl w:val="nil"/>
                  </w:tcBorders>
                  <w:vAlign w:val="center"/>
                </w:tcPr>
                <w:p w14:paraId="704AC1FE">
                  <w:pPr>
                    <w:pStyle w:val="33"/>
                    <w:rPr>
                      <w:color w:val="auto"/>
                    </w:rPr>
                  </w:pPr>
                  <w:r>
                    <w:rPr>
                      <w:rFonts w:hint="eastAsia"/>
                      <w:color w:val="auto"/>
                    </w:rPr>
                    <w:t>1次/半年</w:t>
                  </w:r>
                </w:p>
              </w:tc>
            </w:tr>
            <w:tr w14:paraId="63DB7D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36" w:type="dxa"/>
                  <w:tcBorders>
                    <w:tl2br w:val="nil"/>
                    <w:tr2bl w:val="nil"/>
                  </w:tcBorders>
                  <w:vAlign w:val="center"/>
                </w:tcPr>
                <w:p w14:paraId="67DC19DD">
                  <w:pPr>
                    <w:pStyle w:val="33"/>
                    <w:rPr>
                      <w:color w:val="auto"/>
                    </w:rPr>
                  </w:pPr>
                  <w:r>
                    <w:rPr>
                      <w:rFonts w:hint="eastAsia"/>
                      <w:color w:val="auto"/>
                    </w:rPr>
                    <w:t>有组织废气</w:t>
                  </w:r>
                </w:p>
              </w:tc>
              <w:tc>
                <w:tcPr>
                  <w:tcW w:w="2495" w:type="dxa"/>
                  <w:tcBorders>
                    <w:tl2br w:val="nil"/>
                    <w:tr2bl w:val="nil"/>
                  </w:tcBorders>
                  <w:vAlign w:val="center"/>
                </w:tcPr>
                <w:p w14:paraId="01D91C6A">
                  <w:pPr>
                    <w:pStyle w:val="33"/>
                    <w:rPr>
                      <w:color w:val="auto"/>
                    </w:rPr>
                  </w:pPr>
                  <w:r>
                    <w:rPr>
                      <w:rFonts w:hint="eastAsia"/>
                      <w:color w:val="auto"/>
                    </w:rPr>
                    <w:t>18m高排气筒DA001出口</w:t>
                  </w:r>
                </w:p>
              </w:tc>
              <w:tc>
                <w:tcPr>
                  <w:tcW w:w="2501" w:type="dxa"/>
                  <w:tcBorders>
                    <w:tl2br w:val="nil"/>
                    <w:tr2bl w:val="nil"/>
                  </w:tcBorders>
                  <w:vAlign w:val="center"/>
                </w:tcPr>
                <w:p w14:paraId="0123BBEB">
                  <w:pPr>
                    <w:pStyle w:val="33"/>
                    <w:rPr>
                      <w:color w:val="auto"/>
                    </w:rPr>
                  </w:pPr>
                  <w:r>
                    <w:rPr>
                      <w:rFonts w:hint="eastAsia"/>
                      <w:color w:val="auto"/>
                    </w:rPr>
                    <w:t>颗粒物、二氧化硫、氮氧化物、油烟、非甲烷总烃</w:t>
                  </w:r>
                </w:p>
              </w:tc>
              <w:tc>
                <w:tcPr>
                  <w:tcW w:w="1275" w:type="dxa"/>
                  <w:tcBorders>
                    <w:tl2br w:val="nil"/>
                    <w:tr2bl w:val="nil"/>
                  </w:tcBorders>
                  <w:vAlign w:val="center"/>
                </w:tcPr>
                <w:p w14:paraId="52ECDCB2">
                  <w:pPr>
                    <w:pStyle w:val="33"/>
                    <w:rPr>
                      <w:color w:val="auto"/>
                    </w:rPr>
                  </w:pPr>
                  <w:r>
                    <w:rPr>
                      <w:rFonts w:hint="eastAsia"/>
                      <w:color w:val="auto"/>
                    </w:rPr>
                    <w:t>1次/半年</w:t>
                  </w:r>
                </w:p>
              </w:tc>
            </w:tr>
          </w:tbl>
          <w:p w14:paraId="766DC3EC">
            <w:pPr>
              <w:ind w:firstLine="482"/>
              <w:rPr>
                <w:b/>
                <w:bCs/>
                <w:color w:val="auto"/>
              </w:rPr>
            </w:pPr>
            <w:r>
              <w:rPr>
                <w:rFonts w:hint="eastAsia"/>
                <w:b/>
                <w:bCs/>
                <w:color w:val="auto"/>
              </w:rPr>
              <w:t>2、废水环境影响和保护措施</w:t>
            </w:r>
          </w:p>
          <w:p w14:paraId="6C022C2B">
            <w:pPr>
              <w:ind w:firstLine="482"/>
              <w:rPr>
                <w:b/>
                <w:bCs/>
                <w:color w:val="auto"/>
              </w:rPr>
            </w:pPr>
            <w:r>
              <w:rPr>
                <w:rFonts w:hint="eastAsia"/>
                <w:b/>
                <w:bCs/>
                <w:color w:val="auto"/>
              </w:rPr>
              <w:t>（1）废水污染源分析</w:t>
            </w:r>
          </w:p>
          <w:p w14:paraId="2A655C24">
            <w:pPr>
              <w:ind w:firstLine="480"/>
              <w:rPr>
                <w:color w:val="auto"/>
              </w:rPr>
            </w:pPr>
            <w:r>
              <w:rPr>
                <w:rFonts w:hint="eastAsia"/>
                <w:color w:val="auto"/>
              </w:rPr>
              <w:t>本项目排水采用雨污分流制。项目废水主要包括员工生活污水、原料清洗废水、洗瓶废水、设备清洗废水和车间地面清洗废水。卤汁配料水部分进入产品</w:t>
            </w:r>
            <w:r>
              <w:rPr>
                <w:rFonts w:hint="eastAsia"/>
                <w:color w:val="auto"/>
                <w:lang w:eastAsia="zh-CN"/>
              </w:rPr>
              <w:t>，</w:t>
            </w:r>
            <w:r>
              <w:rPr>
                <w:rFonts w:hint="eastAsia"/>
                <w:color w:val="auto"/>
              </w:rPr>
              <w:t>部分在熟制过程中蒸发，不形成废水。</w:t>
            </w:r>
          </w:p>
          <w:p w14:paraId="0D8CA7EC">
            <w:pPr>
              <w:ind w:firstLine="480"/>
              <w:rPr>
                <w:color w:val="auto"/>
              </w:rPr>
            </w:pPr>
            <w:r>
              <w:rPr>
                <w:color w:val="auto"/>
              </w:rPr>
              <w:t>1）员工生活污水</w:t>
            </w:r>
          </w:p>
          <w:p w14:paraId="7F6360BC">
            <w:pPr>
              <w:ind w:firstLine="480"/>
              <w:rPr>
                <w:rFonts w:hint="eastAsia"/>
                <w:color w:val="auto"/>
              </w:rPr>
            </w:pPr>
            <w:r>
              <w:rPr>
                <w:rFonts w:hint="eastAsia"/>
                <w:color w:val="auto"/>
              </w:rPr>
              <w:t>本项目员工生活用水量为1.65m</w:t>
            </w:r>
            <w:r>
              <w:rPr>
                <w:rFonts w:hint="eastAsia"/>
                <w:color w:val="auto"/>
                <w:vertAlign w:val="superscript"/>
              </w:rPr>
              <w:t>3</w:t>
            </w:r>
            <w:r>
              <w:rPr>
                <w:rFonts w:hint="eastAsia"/>
                <w:color w:val="auto"/>
              </w:rPr>
              <w:t>/d、478.5m</w:t>
            </w:r>
            <w:r>
              <w:rPr>
                <w:rFonts w:hint="eastAsia"/>
                <w:color w:val="auto"/>
                <w:vertAlign w:val="superscript"/>
              </w:rPr>
              <w:t>3</w:t>
            </w:r>
            <w:r>
              <w:rPr>
                <w:rFonts w:hint="eastAsia"/>
                <w:color w:val="auto"/>
              </w:rPr>
              <w:t>/a。根据生态环境部《生活污染源产排污系数手册》，城镇生活污水折污系数为0.8～0.9，其中人均日生活用水量不超过150 L/（人·d）时，折污系数取0.8。则生活污水产生量约为1.32m</w:t>
            </w:r>
            <w:r>
              <w:rPr>
                <w:rFonts w:hint="eastAsia"/>
                <w:color w:val="auto"/>
                <w:vertAlign w:val="superscript"/>
              </w:rPr>
              <w:t>3</w:t>
            </w:r>
            <w:r>
              <w:rPr>
                <w:rFonts w:hint="eastAsia"/>
                <w:color w:val="auto"/>
              </w:rPr>
              <w:t>/d、382.8m</w:t>
            </w:r>
            <w:r>
              <w:rPr>
                <w:rFonts w:hint="eastAsia"/>
                <w:color w:val="auto"/>
                <w:vertAlign w:val="superscript"/>
              </w:rPr>
              <w:t>3</w:t>
            </w:r>
            <w:r>
              <w:rPr>
                <w:rFonts w:hint="eastAsia"/>
                <w:color w:val="auto"/>
              </w:rPr>
              <w:t>/a。生活污水经化粪池预处理后排入市政污水管网，进入新兴污水处理厂进一步处理。</w:t>
            </w:r>
          </w:p>
          <w:p w14:paraId="34CAB2C3">
            <w:pPr>
              <w:ind w:firstLine="480"/>
              <w:rPr>
                <w:color w:val="auto"/>
              </w:rPr>
            </w:pPr>
            <w:r>
              <w:rPr>
                <w:color w:val="auto"/>
              </w:rPr>
              <w:t>2）原料清洗废水</w:t>
            </w:r>
          </w:p>
          <w:p w14:paraId="5F38A214">
            <w:pPr>
              <w:ind w:firstLine="480"/>
              <w:rPr>
                <w:color w:val="auto"/>
              </w:rPr>
            </w:pPr>
            <w:r>
              <w:rPr>
                <w:rFonts w:hint="eastAsia"/>
                <w:color w:val="auto"/>
              </w:rPr>
              <w:t>本项目辣椒、姜、蒜、葱等原料在进入后续生产工序前需进行清洗，原料清洗用水量约为0.</w:t>
            </w:r>
            <w:r>
              <w:rPr>
                <w:rFonts w:hint="eastAsia"/>
                <w:color w:val="auto"/>
                <w:lang w:val="en-US" w:eastAsia="zh-CN"/>
              </w:rPr>
              <w:t>010</w:t>
            </w:r>
            <w:r>
              <w:rPr>
                <w:rFonts w:hint="eastAsia"/>
                <w:color w:val="auto"/>
              </w:rPr>
              <w:t>m</w:t>
            </w:r>
            <w:r>
              <w:rPr>
                <w:rFonts w:hint="eastAsia"/>
                <w:color w:val="auto"/>
                <w:vertAlign w:val="superscript"/>
              </w:rPr>
              <w:t>3</w:t>
            </w:r>
            <w:r>
              <w:rPr>
                <w:rFonts w:hint="eastAsia"/>
                <w:color w:val="auto"/>
              </w:rPr>
              <w:t>/d、2.</w:t>
            </w:r>
            <w:r>
              <w:rPr>
                <w:rFonts w:hint="eastAsia"/>
                <w:color w:val="auto"/>
                <w:lang w:val="en-US" w:eastAsia="zh-CN"/>
              </w:rPr>
              <w:t>9</w:t>
            </w:r>
            <w:r>
              <w:rPr>
                <w:rFonts w:hint="eastAsia"/>
                <w:color w:val="auto"/>
              </w:rPr>
              <w:t>m</w:t>
            </w:r>
            <w:r>
              <w:rPr>
                <w:rFonts w:hint="eastAsia"/>
                <w:color w:val="auto"/>
                <w:vertAlign w:val="superscript"/>
              </w:rPr>
              <w:t>3</w:t>
            </w:r>
            <w:r>
              <w:rPr>
                <w:rFonts w:hint="eastAsia"/>
                <w:color w:val="auto"/>
              </w:rPr>
              <w:t>/a。清洗过程中部分水分随原料带走或损耗，参照《甘棠明善食品有限公司年产2200吨冻品类食品生产线扩建项目环境影响报告表》中辣椒、生姜、大蒜等食品原料清洗用排水情况，废水产生系数按</w:t>
            </w:r>
            <w:r>
              <w:rPr>
                <w:rFonts w:hint="eastAsia"/>
                <w:color w:val="auto"/>
                <w:lang w:val="en-US" w:eastAsia="zh-CN"/>
              </w:rPr>
              <w:t>90</w:t>
            </w:r>
            <w:r>
              <w:rPr>
                <w:rFonts w:hint="eastAsia"/>
                <w:color w:val="auto"/>
              </w:rPr>
              <w:t>%计，则原料清洗废水产生量约为0.00</w:t>
            </w:r>
            <w:r>
              <w:rPr>
                <w:rFonts w:hint="eastAsia"/>
                <w:color w:val="auto"/>
                <w:lang w:val="en-US" w:eastAsia="zh-CN"/>
              </w:rPr>
              <w:t>9</w:t>
            </w:r>
            <w:r>
              <w:rPr>
                <w:rFonts w:hint="eastAsia"/>
                <w:color w:val="auto"/>
              </w:rPr>
              <w:t>m</w:t>
            </w:r>
            <w:r>
              <w:rPr>
                <w:rFonts w:hint="eastAsia"/>
                <w:color w:val="auto"/>
                <w:vertAlign w:val="superscript"/>
              </w:rPr>
              <w:t>3</w:t>
            </w:r>
            <w:r>
              <w:rPr>
                <w:rFonts w:hint="eastAsia"/>
                <w:color w:val="auto"/>
              </w:rPr>
              <w:t>/d、</w:t>
            </w:r>
            <w:r>
              <w:rPr>
                <w:rFonts w:hint="eastAsia"/>
                <w:color w:val="auto"/>
                <w:lang w:val="en-US" w:eastAsia="zh-CN"/>
              </w:rPr>
              <w:t>2.61</w:t>
            </w:r>
            <w:r>
              <w:rPr>
                <w:rFonts w:hint="eastAsia"/>
                <w:color w:val="auto"/>
              </w:rPr>
              <w:t>m</w:t>
            </w:r>
            <w:r>
              <w:rPr>
                <w:rFonts w:hint="eastAsia"/>
                <w:color w:val="auto"/>
                <w:vertAlign w:val="superscript"/>
              </w:rPr>
              <w:t>3</w:t>
            </w:r>
            <w:r>
              <w:rPr>
                <w:rFonts w:hint="eastAsia"/>
                <w:color w:val="auto"/>
              </w:rPr>
              <w:t>/a。</w:t>
            </w:r>
          </w:p>
          <w:p w14:paraId="7B710B35">
            <w:pPr>
              <w:ind w:firstLine="480"/>
              <w:rPr>
                <w:rFonts w:hint="eastAsia"/>
                <w:color w:val="auto"/>
                <w:lang w:val="en-US" w:eastAsia="zh-CN"/>
              </w:rPr>
            </w:pPr>
            <w:r>
              <w:rPr>
                <w:rFonts w:hint="eastAsia"/>
                <w:color w:val="auto"/>
                <w:lang w:val="en-US" w:eastAsia="zh-CN"/>
              </w:rPr>
              <w:t>3）洗瓶废水</w:t>
            </w:r>
          </w:p>
          <w:p w14:paraId="2F395184">
            <w:pPr>
              <w:ind w:firstLine="480"/>
              <w:rPr>
                <w:rFonts w:hint="eastAsia"/>
                <w:color w:val="auto"/>
                <w:lang w:val="en-US" w:eastAsia="zh-CN"/>
              </w:rPr>
            </w:pPr>
            <w:r>
              <w:rPr>
                <w:rFonts w:hint="eastAsia"/>
                <w:color w:val="auto"/>
                <w:lang w:val="en-US" w:eastAsia="zh-CN"/>
              </w:rPr>
              <w:t>本项目洗瓶用水量约为0.053m</w:t>
            </w:r>
            <w:r>
              <w:rPr>
                <w:rFonts w:hint="eastAsia"/>
                <w:color w:val="auto"/>
                <w:vertAlign w:val="superscript"/>
                <w:lang w:val="en-US" w:eastAsia="zh-CN"/>
              </w:rPr>
              <w:t>3</w:t>
            </w:r>
            <w:r>
              <w:rPr>
                <w:rFonts w:hint="eastAsia"/>
                <w:color w:val="auto"/>
                <w:lang w:val="en-US" w:eastAsia="zh-CN"/>
              </w:rPr>
              <w:t>/d、15.291m</w:t>
            </w:r>
            <w:r>
              <w:rPr>
                <w:rFonts w:hint="eastAsia"/>
                <w:color w:val="auto"/>
                <w:vertAlign w:val="superscript"/>
                <w:lang w:val="en-US" w:eastAsia="zh-CN"/>
              </w:rPr>
              <w:t>3</w:t>
            </w:r>
            <w:r>
              <w:rPr>
                <w:rFonts w:hint="eastAsia"/>
                <w:color w:val="auto"/>
                <w:lang w:val="en-US" w:eastAsia="zh-CN"/>
              </w:rPr>
              <w:t>/a。废水产生系数类比《巨余生物技术（广州）有限公司年产压片糖果1000万片、复合蛋白饮料50万支、植物饮料50万支、固体饮料50万条生产线项目》按90%计，则洗瓶废水产生量约为0.048m</w:t>
            </w:r>
            <w:r>
              <w:rPr>
                <w:rFonts w:hint="eastAsia"/>
                <w:color w:val="auto"/>
                <w:vertAlign w:val="superscript"/>
                <w:lang w:val="en-US" w:eastAsia="zh-CN"/>
              </w:rPr>
              <w:t>3</w:t>
            </w:r>
            <w:r>
              <w:rPr>
                <w:rFonts w:hint="eastAsia"/>
                <w:color w:val="auto"/>
                <w:lang w:val="en-US" w:eastAsia="zh-CN"/>
              </w:rPr>
              <w:t>/d、13.76m</w:t>
            </w:r>
            <w:r>
              <w:rPr>
                <w:rFonts w:hint="eastAsia"/>
                <w:color w:val="auto"/>
                <w:vertAlign w:val="superscript"/>
                <w:lang w:val="en-US" w:eastAsia="zh-CN"/>
              </w:rPr>
              <w:t>3</w:t>
            </w:r>
            <w:r>
              <w:rPr>
                <w:rFonts w:hint="eastAsia"/>
                <w:color w:val="auto"/>
                <w:lang w:val="en-US" w:eastAsia="zh-CN"/>
              </w:rPr>
              <w:t>/a。洗瓶废水与其他生产废水一并收集，经厂区自建污水处理设施“隔油沉淀+一体化A/O工艺”处理后排入园区污水管网。</w:t>
            </w:r>
          </w:p>
          <w:p w14:paraId="4C76CCFA">
            <w:pPr>
              <w:ind w:firstLine="480"/>
              <w:rPr>
                <w:color w:val="auto"/>
              </w:rPr>
            </w:pPr>
            <w:r>
              <w:rPr>
                <w:rFonts w:hint="eastAsia"/>
                <w:color w:val="auto"/>
                <w:lang w:val="en-US" w:eastAsia="zh-CN"/>
              </w:rPr>
              <w:t>4</w:t>
            </w:r>
            <w:r>
              <w:rPr>
                <w:rFonts w:hint="eastAsia"/>
                <w:color w:val="auto"/>
              </w:rPr>
              <w:t>）设备清洗废水</w:t>
            </w:r>
          </w:p>
          <w:p w14:paraId="1079C352">
            <w:pPr>
              <w:ind w:firstLine="480"/>
              <w:rPr>
                <w:color w:val="auto"/>
              </w:rPr>
            </w:pPr>
            <w:r>
              <w:rPr>
                <w:rFonts w:hint="eastAsia"/>
                <w:color w:val="auto"/>
              </w:rPr>
              <w:t>本项目设备清洗用水量约为1.6m</w:t>
            </w:r>
            <w:r>
              <w:rPr>
                <w:rFonts w:hint="eastAsia"/>
                <w:color w:val="auto"/>
                <w:vertAlign w:val="superscript"/>
                <w:lang w:val="en-US" w:eastAsia="zh-CN"/>
              </w:rPr>
              <w:t>3</w:t>
            </w:r>
            <w:r>
              <w:rPr>
                <w:rFonts w:hint="eastAsia"/>
                <w:color w:val="auto"/>
              </w:rPr>
              <w:t>/d、464m</w:t>
            </w:r>
            <w:r>
              <w:rPr>
                <w:rFonts w:hint="eastAsia"/>
                <w:color w:val="auto"/>
                <w:vertAlign w:val="superscript"/>
                <w:lang w:val="en-US" w:eastAsia="zh-CN"/>
              </w:rPr>
              <w:t>3</w:t>
            </w:r>
            <w:r>
              <w:rPr>
                <w:rFonts w:hint="eastAsia"/>
                <w:color w:val="auto"/>
              </w:rPr>
              <w:t>/a。废水产生系数</w:t>
            </w:r>
            <w:r>
              <w:rPr>
                <w:rFonts w:hint="eastAsia"/>
                <w:color w:val="auto"/>
                <w:lang w:val="en-US" w:eastAsia="zh-CN"/>
              </w:rPr>
              <w:t>类比《巨余生物技术（广州）有限公司年产压片糖果1000万片、复合蛋白饮料50万支、植物饮料50万支、固体饮料50万条生产线项目》</w:t>
            </w:r>
            <w:r>
              <w:rPr>
                <w:rFonts w:hint="eastAsia"/>
                <w:color w:val="auto"/>
              </w:rPr>
              <w:t>按90%计，则设备清洗废水产生量约为1.44m</w:t>
            </w:r>
            <w:r>
              <w:rPr>
                <w:rFonts w:hint="eastAsia"/>
                <w:color w:val="auto"/>
                <w:vertAlign w:val="superscript"/>
                <w:lang w:val="en-US" w:eastAsia="zh-CN"/>
              </w:rPr>
              <w:t>3</w:t>
            </w:r>
            <w:r>
              <w:rPr>
                <w:rFonts w:hint="eastAsia"/>
                <w:color w:val="auto"/>
              </w:rPr>
              <w:t>/d、417.6m</w:t>
            </w:r>
            <w:r>
              <w:rPr>
                <w:rFonts w:hint="eastAsia"/>
                <w:color w:val="auto"/>
                <w:vertAlign w:val="superscript"/>
                <w:lang w:val="en-US" w:eastAsia="zh-CN"/>
              </w:rPr>
              <w:t>3</w:t>
            </w:r>
            <w:r>
              <w:rPr>
                <w:rFonts w:hint="eastAsia"/>
                <w:color w:val="auto"/>
              </w:rPr>
              <w:t>/a。</w:t>
            </w:r>
          </w:p>
          <w:p w14:paraId="2A3EF2D4">
            <w:pPr>
              <w:ind w:firstLine="480"/>
              <w:rPr>
                <w:color w:val="auto"/>
              </w:rPr>
            </w:pPr>
            <w:r>
              <w:rPr>
                <w:rFonts w:hint="eastAsia"/>
                <w:color w:val="auto"/>
                <w:lang w:val="en-US" w:eastAsia="zh-CN"/>
              </w:rPr>
              <w:t>5</w:t>
            </w:r>
            <w:r>
              <w:rPr>
                <w:rFonts w:hint="eastAsia"/>
                <w:color w:val="auto"/>
              </w:rPr>
              <w:t>）车间清洗废水</w:t>
            </w:r>
          </w:p>
          <w:p w14:paraId="77F792A4">
            <w:pPr>
              <w:ind w:firstLine="480"/>
              <w:rPr>
                <w:color w:val="auto"/>
              </w:rPr>
            </w:pPr>
            <w:r>
              <w:rPr>
                <w:color w:val="auto"/>
              </w:rPr>
              <w:t>车间清洗用水量约为2.0m</w:t>
            </w:r>
            <w:r>
              <w:rPr>
                <w:rFonts w:hint="eastAsia"/>
                <w:color w:val="auto"/>
                <w:vertAlign w:val="superscript"/>
              </w:rPr>
              <w:t>3</w:t>
            </w:r>
            <w:r>
              <w:rPr>
                <w:color w:val="auto"/>
              </w:rPr>
              <w:t>/d、580m</w:t>
            </w:r>
            <w:r>
              <w:rPr>
                <w:rFonts w:hint="eastAsia"/>
                <w:color w:val="auto"/>
                <w:vertAlign w:val="superscript"/>
              </w:rPr>
              <w:t>3</w:t>
            </w:r>
            <w:r>
              <w:rPr>
                <w:color w:val="auto"/>
              </w:rPr>
              <w:t>/a。</w:t>
            </w:r>
            <w:r>
              <w:rPr>
                <w:color w:val="auto"/>
              </w:rPr>
              <w:t>废水产生系数</w:t>
            </w:r>
            <w:r>
              <w:rPr>
                <w:rFonts w:hint="eastAsia"/>
                <w:color w:val="auto"/>
                <w:lang w:val="en-US" w:eastAsia="zh-CN"/>
              </w:rPr>
              <w:t>参照《甘棠明善食品有限公司年产2200吨冻品类食品生产线扩建项目环境影响报告表》按</w:t>
            </w:r>
            <w:r>
              <w:rPr>
                <w:color w:val="auto"/>
              </w:rPr>
              <w:t>90%计，则车间清洗废水产生量约为1.8m</w:t>
            </w:r>
            <w:r>
              <w:rPr>
                <w:rFonts w:hint="eastAsia"/>
                <w:color w:val="auto"/>
                <w:vertAlign w:val="superscript"/>
              </w:rPr>
              <w:t>3</w:t>
            </w:r>
            <w:r>
              <w:rPr>
                <w:color w:val="auto"/>
              </w:rPr>
              <w:t>/d、522m</w:t>
            </w:r>
            <w:r>
              <w:rPr>
                <w:rFonts w:hint="eastAsia"/>
                <w:color w:val="auto"/>
                <w:vertAlign w:val="superscript"/>
              </w:rPr>
              <w:t>3</w:t>
            </w:r>
            <w:r>
              <w:rPr>
                <w:color w:val="auto"/>
              </w:rPr>
              <w:t>/a。</w:t>
            </w:r>
          </w:p>
          <w:p w14:paraId="419C0EED">
            <w:pPr>
              <w:ind w:firstLine="480"/>
              <w:rPr>
                <w:color w:val="auto"/>
              </w:rPr>
            </w:pPr>
            <w:r>
              <w:rPr>
                <w:rFonts w:hint="eastAsia"/>
                <w:color w:val="auto"/>
              </w:rPr>
              <w:t>项目生产废水</w:t>
            </w:r>
            <w:r>
              <w:rPr>
                <w:rFonts w:hint="eastAsia"/>
                <w:color w:val="auto"/>
                <w:lang w:eastAsia="zh-CN"/>
              </w:rPr>
              <w:t>经厂区自建污水处理设施“隔油沉淀+一体化A/O工艺”</w:t>
            </w:r>
            <w:r>
              <w:rPr>
                <w:rFonts w:hint="eastAsia"/>
                <w:color w:val="auto"/>
              </w:rPr>
              <w:t>处理，经处理后达到《污水综合排放标准》（GB8978-1996）中三级标准，同时满足新兴污水处理厂进水水质标准后排入市政污水管网，最终经新兴污水处理厂处理达到《城镇污水处理厂污染物排放标准》（GB18918-2002）一级B标准后排入响水河。</w:t>
            </w:r>
          </w:p>
          <w:p w14:paraId="124A5E69">
            <w:pPr>
              <w:ind w:firstLine="480"/>
              <w:rPr>
                <w:color w:val="auto"/>
              </w:rPr>
            </w:pPr>
            <w:r>
              <w:rPr>
                <w:rFonts w:hint="eastAsia"/>
                <w:color w:val="auto"/>
              </w:rPr>
              <w:t>本项目生产废水中CODcr、NH</w:t>
            </w:r>
            <w:r>
              <w:rPr>
                <w:rFonts w:hint="eastAsia"/>
                <w:color w:val="auto"/>
                <w:vertAlign w:val="subscript"/>
              </w:rPr>
              <w:t>3</w:t>
            </w:r>
            <w:r>
              <w:rPr>
                <w:rFonts w:hint="eastAsia"/>
                <w:color w:val="auto"/>
              </w:rPr>
              <w:t>-N、TN和TP产生量参照</w:t>
            </w:r>
            <w:r>
              <w:rPr>
                <w:color w:val="auto"/>
              </w:rPr>
              <w:t>《排放源统计调查产排污核算方法和系数手册》“1469其他调味品、发酵制品制造行业系数手册”</w:t>
            </w:r>
            <w:r>
              <w:rPr>
                <w:rFonts w:hint="eastAsia"/>
                <w:color w:val="auto"/>
              </w:rPr>
              <w:t>核算；根据手册说明，本项目液态复合调味料属于熬煮汤料类，参照火锅底料产污系数；半固体复合调味酱参照调味酱产污系数；复合调味油采用植物油炒制工艺，其产污系数按香辣酱产污系数的1/3计。鸡精调味料、固体复合调味粉及食糖分装主要采用粉碎、混合、包装等干法工艺，不单独按上述湿法调味品废水系数核算。本项目具体产污情况如表4-7，表4-8。</w:t>
            </w:r>
          </w:p>
          <w:p w14:paraId="4A148DFA">
            <w:pPr>
              <w:pStyle w:val="35"/>
              <w:rPr>
                <w:rFonts w:hint="default"/>
                <w:color w:val="auto"/>
              </w:rPr>
            </w:pPr>
            <w:r>
              <w:rPr>
                <w:color w:val="auto"/>
              </w:rPr>
              <w:t>表4-7 本项目生产废水产污系数取值一览表</w:t>
            </w:r>
          </w:p>
          <w:tbl>
            <w:tblPr>
              <w:tblStyle w:val="17"/>
              <w:tblW w:w="7967"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1336"/>
              <w:gridCol w:w="1336"/>
              <w:gridCol w:w="1083"/>
              <w:gridCol w:w="1050"/>
              <w:gridCol w:w="913"/>
              <w:gridCol w:w="913"/>
            </w:tblGrid>
            <w:tr w14:paraId="00C024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6" w:type="dxa"/>
                  <w:tcBorders>
                    <w:tl2br w:val="nil"/>
                    <w:tr2bl w:val="nil"/>
                  </w:tcBorders>
                  <w:vAlign w:val="center"/>
                </w:tcPr>
                <w:p w14:paraId="119793A1">
                  <w:pPr>
                    <w:pStyle w:val="33"/>
                    <w:rPr>
                      <w:color w:val="auto"/>
                    </w:rPr>
                  </w:pPr>
                  <w:r>
                    <w:rPr>
                      <w:rFonts w:hint="eastAsia"/>
                      <w:color w:val="auto"/>
                    </w:rPr>
                    <w:t>废水污染物指标</w:t>
                  </w:r>
                </w:p>
              </w:tc>
              <w:tc>
                <w:tcPr>
                  <w:tcW w:w="1336" w:type="dxa"/>
                  <w:tcBorders>
                    <w:tl2br w:val="nil"/>
                    <w:tr2bl w:val="nil"/>
                  </w:tcBorders>
                  <w:vAlign w:val="center"/>
                </w:tcPr>
                <w:p w14:paraId="7F0738DD">
                  <w:pPr>
                    <w:pStyle w:val="33"/>
                    <w:rPr>
                      <w:color w:val="auto"/>
                    </w:rPr>
                  </w:pPr>
                  <w:r>
                    <w:rPr>
                      <w:rFonts w:hint="eastAsia"/>
                      <w:color w:val="auto"/>
                    </w:rPr>
                    <w:t>本项目产量（t/a）</w:t>
                  </w:r>
                </w:p>
              </w:tc>
              <w:tc>
                <w:tcPr>
                  <w:tcW w:w="1336" w:type="dxa"/>
                  <w:tcBorders>
                    <w:tl2br w:val="nil"/>
                    <w:tr2bl w:val="nil"/>
                  </w:tcBorders>
                  <w:vAlign w:val="center"/>
                </w:tcPr>
                <w:p w14:paraId="531D6B06">
                  <w:pPr>
                    <w:pStyle w:val="33"/>
                    <w:rPr>
                      <w:color w:val="auto"/>
                    </w:rPr>
                  </w:pPr>
                  <w:r>
                    <w:rPr>
                      <w:rFonts w:hint="eastAsia"/>
                      <w:color w:val="auto"/>
                    </w:rPr>
                    <w:t>参照类别</w:t>
                  </w:r>
                </w:p>
              </w:tc>
              <w:tc>
                <w:tcPr>
                  <w:tcW w:w="1083" w:type="dxa"/>
                  <w:tcBorders>
                    <w:tl2br w:val="nil"/>
                    <w:tr2bl w:val="nil"/>
                  </w:tcBorders>
                  <w:vAlign w:val="center"/>
                </w:tcPr>
                <w:p w14:paraId="2A9F9F05">
                  <w:pPr>
                    <w:pStyle w:val="33"/>
                    <w:rPr>
                      <w:color w:val="auto"/>
                    </w:rPr>
                  </w:pPr>
                  <w:r>
                    <w:rPr>
                      <w:rFonts w:hint="eastAsia"/>
                      <w:color w:val="auto"/>
                    </w:rPr>
                    <w:t>CODcr（g/t-产品）</w:t>
                  </w:r>
                </w:p>
              </w:tc>
              <w:tc>
                <w:tcPr>
                  <w:tcW w:w="1050" w:type="dxa"/>
                  <w:tcBorders>
                    <w:tl2br w:val="nil"/>
                    <w:tr2bl w:val="nil"/>
                  </w:tcBorders>
                  <w:vAlign w:val="center"/>
                </w:tcPr>
                <w:p w14:paraId="48A4547D">
                  <w:pPr>
                    <w:pStyle w:val="33"/>
                    <w:rPr>
                      <w:color w:val="auto"/>
                    </w:rPr>
                  </w:pPr>
                  <w:r>
                    <w:rPr>
                      <w:rFonts w:hint="eastAsia"/>
                      <w:color w:val="auto"/>
                    </w:rPr>
                    <w:t>NH</w:t>
                  </w:r>
                  <w:r>
                    <w:rPr>
                      <w:rFonts w:hint="eastAsia"/>
                      <w:color w:val="auto"/>
                      <w:vertAlign w:val="subscript"/>
                    </w:rPr>
                    <w:t>3</w:t>
                  </w:r>
                  <w:r>
                    <w:rPr>
                      <w:rFonts w:hint="eastAsia"/>
                      <w:color w:val="auto"/>
                    </w:rPr>
                    <w:t>-N（g/t-产品）</w:t>
                  </w:r>
                </w:p>
              </w:tc>
              <w:tc>
                <w:tcPr>
                  <w:tcW w:w="913" w:type="dxa"/>
                  <w:tcBorders>
                    <w:tl2br w:val="nil"/>
                    <w:tr2bl w:val="nil"/>
                  </w:tcBorders>
                  <w:vAlign w:val="center"/>
                </w:tcPr>
                <w:p w14:paraId="634A18CC">
                  <w:pPr>
                    <w:pStyle w:val="33"/>
                    <w:rPr>
                      <w:color w:val="auto"/>
                    </w:rPr>
                  </w:pPr>
                  <w:r>
                    <w:rPr>
                      <w:rFonts w:hint="eastAsia"/>
                      <w:color w:val="auto"/>
                    </w:rPr>
                    <w:t>TN（g/t-产品）</w:t>
                  </w:r>
                </w:p>
              </w:tc>
              <w:tc>
                <w:tcPr>
                  <w:tcW w:w="913" w:type="dxa"/>
                  <w:tcBorders>
                    <w:tl2br w:val="nil"/>
                    <w:tr2bl w:val="nil"/>
                  </w:tcBorders>
                  <w:vAlign w:val="center"/>
                </w:tcPr>
                <w:p w14:paraId="2CA63EB3">
                  <w:pPr>
                    <w:pStyle w:val="33"/>
                    <w:rPr>
                      <w:color w:val="auto"/>
                    </w:rPr>
                  </w:pPr>
                  <w:r>
                    <w:rPr>
                      <w:rFonts w:hint="eastAsia"/>
                      <w:color w:val="auto"/>
                    </w:rPr>
                    <w:t>TP（g/t-产品）</w:t>
                  </w:r>
                </w:p>
              </w:tc>
            </w:tr>
            <w:tr w14:paraId="03E94C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6" w:type="dxa"/>
                  <w:tcBorders>
                    <w:tl2br w:val="nil"/>
                    <w:tr2bl w:val="nil"/>
                  </w:tcBorders>
                  <w:vAlign w:val="center"/>
                </w:tcPr>
                <w:p w14:paraId="664FD8A2">
                  <w:pPr>
                    <w:pStyle w:val="33"/>
                    <w:rPr>
                      <w:color w:val="auto"/>
                    </w:rPr>
                  </w:pPr>
                  <w:r>
                    <w:rPr>
                      <w:rFonts w:hint="eastAsia"/>
                      <w:color w:val="auto"/>
                    </w:rPr>
                    <w:t>液态复合调味料</w:t>
                  </w:r>
                </w:p>
              </w:tc>
              <w:tc>
                <w:tcPr>
                  <w:tcW w:w="1336" w:type="dxa"/>
                  <w:tcBorders>
                    <w:tl2br w:val="nil"/>
                    <w:tr2bl w:val="nil"/>
                  </w:tcBorders>
                  <w:vAlign w:val="center"/>
                </w:tcPr>
                <w:p w14:paraId="20369FBD">
                  <w:pPr>
                    <w:pStyle w:val="33"/>
                    <w:rPr>
                      <w:color w:val="auto"/>
                    </w:rPr>
                  </w:pPr>
                  <w:r>
                    <w:rPr>
                      <w:rFonts w:hint="eastAsia"/>
                      <w:color w:val="auto"/>
                    </w:rPr>
                    <w:t>1.58</w:t>
                  </w:r>
                </w:p>
              </w:tc>
              <w:tc>
                <w:tcPr>
                  <w:tcW w:w="1336" w:type="dxa"/>
                  <w:tcBorders>
                    <w:tl2br w:val="nil"/>
                    <w:tr2bl w:val="nil"/>
                  </w:tcBorders>
                  <w:vAlign w:val="center"/>
                </w:tcPr>
                <w:p w14:paraId="6A9ACF47">
                  <w:pPr>
                    <w:pStyle w:val="33"/>
                    <w:rPr>
                      <w:color w:val="auto"/>
                    </w:rPr>
                  </w:pPr>
                  <w:r>
                    <w:rPr>
                      <w:rFonts w:hint="eastAsia"/>
                      <w:color w:val="auto"/>
                    </w:rPr>
                    <w:t>火锅底料</w:t>
                  </w:r>
                </w:p>
              </w:tc>
              <w:tc>
                <w:tcPr>
                  <w:tcW w:w="1083" w:type="dxa"/>
                  <w:tcBorders>
                    <w:tl2br w:val="nil"/>
                    <w:tr2bl w:val="nil"/>
                  </w:tcBorders>
                  <w:vAlign w:val="center"/>
                </w:tcPr>
                <w:p w14:paraId="500ECAC8">
                  <w:pPr>
                    <w:pStyle w:val="33"/>
                    <w:rPr>
                      <w:color w:val="auto"/>
                    </w:rPr>
                  </w:pPr>
                  <w:r>
                    <w:rPr>
                      <w:rFonts w:hint="eastAsia"/>
                      <w:color w:val="auto"/>
                    </w:rPr>
                    <w:t>10800</w:t>
                  </w:r>
                </w:p>
              </w:tc>
              <w:tc>
                <w:tcPr>
                  <w:tcW w:w="1050" w:type="dxa"/>
                  <w:tcBorders>
                    <w:tl2br w:val="nil"/>
                    <w:tr2bl w:val="nil"/>
                  </w:tcBorders>
                  <w:vAlign w:val="center"/>
                </w:tcPr>
                <w:p w14:paraId="62863B63">
                  <w:pPr>
                    <w:pStyle w:val="33"/>
                    <w:rPr>
                      <w:color w:val="auto"/>
                    </w:rPr>
                  </w:pPr>
                  <w:r>
                    <w:rPr>
                      <w:rFonts w:hint="eastAsia"/>
                      <w:color w:val="auto"/>
                    </w:rPr>
                    <w:t>1260</w:t>
                  </w:r>
                </w:p>
              </w:tc>
              <w:tc>
                <w:tcPr>
                  <w:tcW w:w="913" w:type="dxa"/>
                  <w:tcBorders>
                    <w:tl2br w:val="nil"/>
                    <w:tr2bl w:val="nil"/>
                  </w:tcBorders>
                  <w:vAlign w:val="center"/>
                </w:tcPr>
                <w:p w14:paraId="52A131E9">
                  <w:pPr>
                    <w:pStyle w:val="33"/>
                    <w:rPr>
                      <w:color w:val="auto"/>
                    </w:rPr>
                  </w:pPr>
                  <w:r>
                    <w:rPr>
                      <w:rFonts w:hint="eastAsia"/>
                      <w:color w:val="auto"/>
                    </w:rPr>
                    <w:t>3500</w:t>
                  </w:r>
                </w:p>
              </w:tc>
              <w:tc>
                <w:tcPr>
                  <w:tcW w:w="913" w:type="dxa"/>
                  <w:tcBorders>
                    <w:tl2br w:val="nil"/>
                    <w:tr2bl w:val="nil"/>
                  </w:tcBorders>
                  <w:vAlign w:val="center"/>
                </w:tcPr>
                <w:p w14:paraId="0D049588">
                  <w:pPr>
                    <w:pStyle w:val="33"/>
                    <w:rPr>
                      <w:color w:val="auto"/>
                    </w:rPr>
                  </w:pPr>
                  <w:r>
                    <w:rPr>
                      <w:rFonts w:hint="eastAsia"/>
                      <w:color w:val="auto"/>
                    </w:rPr>
                    <w:t>210</w:t>
                  </w:r>
                </w:p>
              </w:tc>
            </w:tr>
            <w:tr w14:paraId="496C36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6" w:type="dxa"/>
                  <w:tcBorders>
                    <w:tl2br w:val="nil"/>
                    <w:tr2bl w:val="nil"/>
                  </w:tcBorders>
                  <w:vAlign w:val="center"/>
                </w:tcPr>
                <w:p w14:paraId="2831A955">
                  <w:pPr>
                    <w:pStyle w:val="33"/>
                    <w:rPr>
                      <w:color w:val="auto"/>
                    </w:rPr>
                  </w:pPr>
                  <w:r>
                    <w:rPr>
                      <w:rFonts w:hint="eastAsia"/>
                      <w:color w:val="auto"/>
                    </w:rPr>
                    <w:t>半固体复合调味酱</w:t>
                  </w:r>
                </w:p>
              </w:tc>
              <w:tc>
                <w:tcPr>
                  <w:tcW w:w="1336" w:type="dxa"/>
                  <w:tcBorders>
                    <w:tl2br w:val="nil"/>
                    <w:tr2bl w:val="nil"/>
                  </w:tcBorders>
                  <w:vAlign w:val="center"/>
                </w:tcPr>
                <w:p w14:paraId="1439DDF9">
                  <w:pPr>
                    <w:pStyle w:val="33"/>
                    <w:rPr>
                      <w:color w:val="auto"/>
                    </w:rPr>
                  </w:pPr>
                  <w:r>
                    <w:rPr>
                      <w:rFonts w:hint="eastAsia"/>
                      <w:color w:val="auto"/>
                    </w:rPr>
                    <w:t>54.51</w:t>
                  </w:r>
                </w:p>
              </w:tc>
              <w:tc>
                <w:tcPr>
                  <w:tcW w:w="1336" w:type="dxa"/>
                  <w:tcBorders>
                    <w:tl2br w:val="nil"/>
                    <w:tr2bl w:val="nil"/>
                  </w:tcBorders>
                  <w:vAlign w:val="center"/>
                </w:tcPr>
                <w:p w14:paraId="0B0566DD">
                  <w:pPr>
                    <w:pStyle w:val="33"/>
                    <w:rPr>
                      <w:color w:val="auto"/>
                    </w:rPr>
                  </w:pPr>
                  <w:r>
                    <w:rPr>
                      <w:rFonts w:hint="eastAsia"/>
                      <w:color w:val="auto"/>
                    </w:rPr>
                    <w:t>调味酱</w:t>
                  </w:r>
                </w:p>
              </w:tc>
              <w:tc>
                <w:tcPr>
                  <w:tcW w:w="1083" w:type="dxa"/>
                  <w:tcBorders>
                    <w:tl2br w:val="nil"/>
                    <w:tr2bl w:val="nil"/>
                  </w:tcBorders>
                  <w:vAlign w:val="center"/>
                </w:tcPr>
                <w:p w14:paraId="6947D1BF">
                  <w:pPr>
                    <w:pStyle w:val="33"/>
                    <w:rPr>
                      <w:color w:val="auto"/>
                    </w:rPr>
                  </w:pPr>
                  <w:r>
                    <w:rPr>
                      <w:rFonts w:hint="eastAsia"/>
                      <w:color w:val="auto"/>
                    </w:rPr>
                    <w:t>9000</w:t>
                  </w:r>
                </w:p>
              </w:tc>
              <w:tc>
                <w:tcPr>
                  <w:tcW w:w="1050" w:type="dxa"/>
                  <w:tcBorders>
                    <w:tl2br w:val="nil"/>
                    <w:tr2bl w:val="nil"/>
                  </w:tcBorders>
                  <w:vAlign w:val="center"/>
                </w:tcPr>
                <w:p w14:paraId="034685B3">
                  <w:pPr>
                    <w:pStyle w:val="33"/>
                    <w:rPr>
                      <w:color w:val="auto"/>
                    </w:rPr>
                  </w:pPr>
                  <w:r>
                    <w:rPr>
                      <w:rFonts w:hint="eastAsia"/>
                      <w:color w:val="auto"/>
                    </w:rPr>
                    <w:t>900</w:t>
                  </w:r>
                </w:p>
              </w:tc>
              <w:tc>
                <w:tcPr>
                  <w:tcW w:w="913" w:type="dxa"/>
                  <w:tcBorders>
                    <w:tl2br w:val="nil"/>
                    <w:tr2bl w:val="nil"/>
                  </w:tcBorders>
                  <w:vAlign w:val="center"/>
                </w:tcPr>
                <w:p w14:paraId="4383DA6D">
                  <w:pPr>
                    <w:pStyle w:val="33"/>
                    <w:rPr>
                      <w:color w:val="auto"/>
                    </w:rPr>
                  </w:pPr>
                  <w:r>
                    <w:rPr>
                      <w:rFonts w:hint="eastAsia"/>
                      <w:color w:val="auto"/>
                    </w:rPr>
                    <w:t>2500</w:t>
                  </w:r>
                </w:p>
              </w:tc>
              <w:tc>
                <w:tcPr>
                  <w:tcW w:w="913" w:type="dxa"/>
                  <w:tcBorders>
                    <w:tl2br w:val="nil"/>
                    <w:tr2bl w:val="nil"/>
                  </w:tcBorders>
                  <w:vAlign w:val="center"/>
                </w:tcPr>
                <w:p w14:paraId="345F5C7F">
                  <w:pPr>
                    <w:pStyle w:val="33"/>
                    <w:rPr>
                      <w:color w:val="auto"/>
                    </w:rPr>
                  </w:pPr>
                  <w:r>
                    <w:rPr>
                      <w:rFonts w:hint="eastAsia"/>
                      <w:color w:val="auto"/>
                    </w:rPr>
                    <w:t>210</w:t>
                  </w:r>
                </w:p>
              </w:tc>
            </w:tr>
            <w:tr w14:paraId="0F1844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6" w:type="dxa"/>
                  <w:tcBorders>
                    <w:tl2br w:val="nil"/>
                    <w:tr2bl w:val="nil"/>
                  </w:tcBorders>
                  <w:vAlign w:val="center"/>
                </w:tcPr>
                <w:p w14:paraId="5782E953">
                  <w:pPr>
                    <w:pStyle w:val="33"/>
                    <w:rPr>
                      <w:color w:val="auto"/>
                    </w:rPr>
                  </w:pPr>
                  <w:r>
                    <w:rPr>
                      <w:rFonts w:hint="eastAsia"/>
                      <w:color w:val="auto"/>
                    </w:rPr>
                    <w:t>复合调味油</w:t>
                  </w:r>
                </w:p>
              </w:tc>
              <w:tc>
                <w:tcPr>
                  <w:tcW w:w="1336" w:type="dxa"/>
                  <w:tcBorders>
                    <w:tl2br w:val="nil"/>
                    <w:tr2bl w:val="nil"/>
                  </w:tcBorders>
                  <w:vAlign w:val="center"/>
                </w:tcPr>
                <w:p w14:paraId="543DF1D6">
                  <w:pPr>
                    <w:pStyle w:val="33"/>
                    <w:rPr>
                      <w:color w:val="auto"/>
                    </w:rPr>
                  </w:pPr>
                  <w:r>
                    <w:rPr>
                      <w:rFonts w:hint="eastAsia"/>
                      <w:color w:val="auto"/>
                    </w:rPr>
                    <w:t>4.87</w:t>
                  </w:r>
                </w:p>
              </w:tc>
              <w:tc>
                <w:tcPr>
                  <w:tcW w:w="1336" w:type="dxa"/>
                  <w:tcBorders>
                    <w:tl2br w:val="nil"/>
                    <w:tr2bl w:val="nil"/>
                  </w:tcBorders>
                  <w:vAlign w:val="center"/>
                </w:tcPr>
                <w:p w14:paraId="67739307">
                  <w:pPr>
                    <w:pStyle w:val="33"/>
                    <w:rPr>
                      <w:color w:val="auto"/>
                    </w:rPr>
                  </w:pPr>
                  <w:r>
                    <w:rPr>
                      <w:rFonts w:hint="eastAsia"/>
                      <w:color w:val="auto"/>
                    </w:rPr>
                    <w:t>香辣酱1/3</w:t>
                  </w:r>
                </w:p>
              </w:tc>
              <w:tc>
                <w:tcPr>
                  <w:tcW w:w="1083" w:type="dxa"/>
                  <w:tcBorders>
                    <w:tl2br w:val="nil"/>
                    <w:tr2bl w:val="nil"/>
                  </w:tcBorders>
                  <w:vAlign w:val="center"/>
                </w:tcPr>
                <w:p w14:paraId="57DC7026">
                  <w:pPr>
                    <w:pStyle w:val="33"/>
                    <w:rPr>
                      <w:color w:val="auto"/>
                    </w:rPr>
                  </w:pPr>
                  <w:r>
                    <w:rPr>
                      <w:rFonts w:hint="eastAsia"/>
                      <w:color w:val="auto"/>
                    </w:rPr>
                    <w:t>2500</w:t>
                  </w:r>
                </w:p>
              </w:tc>
              <w:tc>
                <w:tcPr>
                  <w:tcW w:w="1050" w:type="dxa"/>
                  <w:tcBorders>
                    <w:tl2br w:val="nil"/>
                    <w:tr2bl w:val="nil"/>
                  </w:tcBorders>
                  <w:vAlign w:val="center"/>
                </w:tcPr>
                <w:p w14:paraId="3EC73E44">
                  <w:pPr>
                    <w:pStyle w:val="33"/>
                    <w:rPr>
                      <w:color w:val="auto"/>
                    </w:rPr>
                  </w:pPr>
                  <w:r>
                    <w:rPr>
                      <w:rFonts w:hint="eastAsia"/>
                      <w:color w:val="auto"/>
                    </w:rPr>
                    <w:t>250</w:t>
                  </w:r>
                </w:p>
              </w:tc>
              <w:tc>
                <w:tcPr>
                  <w:tcW w:w="913" w:type="dxa"/>
                  <w:tcBorders>
                    <w:tl2br w:val="nil"/>
                    <w:tr2bl w:val="nil"/>
                  </w:tcBorders>
                  <w:vAlign w:val="center"/>
                </w:tcPr>
                <w:p w14:paraId="7CAC9615">
                  <w:pPr>
                    <w:pStyle w:val="33"/>
                    <w:rPr>
                      <w:color w:val="auto"/>
                    </w:rPr>
                  </w:pPr>
                  <w:r>
                    <w:rPr>
                      <w:rFonts w:hint="eastAsia"/>
                      <w:color w:val="auto"/>
                    </w:rPr>
                    <w:t>716.67</w:t>
                  </w:r>
                </w:p>
              </w:tc>
              <w:tc>
                <w:tcPr>
                  <w:tcW w:w="913" w:type="dxa"/>
                  <w:tcBorders>
                    <w:tl2br w:val="nil"/>
                    <w:tr2bl w:val="nil"/>
                  </w:tcBorders>
                  <w:vAlign w:val="center"/>
                </w:tcPr>
                <w:p w14:paraId="0406AC9A">
                  <w:pPr>
                    <w:pStyle w:val="33"/>
                    <w:rPr>
                      <w:color w:val="auto"/>
                    </w:rPr>
                  </w:pPr>
                  <w:r>
                    <w:rPr>
                      <w:rFonts w:hint="eastAsia"/>
                      <w:color w:val="auto"/>
                    </w:rPr>
                    <w:t>50</w:t>
                  </w:r>
                </w:p>
              </w:tc>
            </w:tr>
          </w:tbl>
          <w:p w14:paraId="3118D552">
            <w:pPr>
              <w:pStyle w:val="35"/>
              <w:rPr>
                <w:rFonts w:hint="default"/>
                <w:color w:val="auto"/>
              </w:rPr>
            </w:pPr>
            <w:r>
              <w:rPr>
                <w:color w:val="auto"/>
              </w:rPr>
              <w:t>表4-8 项目废水污染物产生处理情况一览表</w:t>
            </w:r>
          </w:p>
          <w:tbl>
            <w:tblPr>
              <w:tblStyle w:val="17"/>
              <w:tblW w:w="8016"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41"/>
              <w:gridCol w:w="900"/>
              <w:gridCol w:w="1118"/>
              <w:gridCol w:w="887"/>
              <w:gridCol w:w="816"/>
              <w:gridCol w:w="588"/>
              <w:gridCol w:w="564"/>
              <w:gridCol w:w="866"/>
              <w:gridCol w:w="834"/>
              <w:gridCol w:w="902"/>
            </w:tblGrid>
            <w:tr w14:paraId="4A246E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41" w:type="dxa"/>
                  <w:tcBorders>
                    <w:tl2br w:val="nil"/>
                    <w:tr2bl w:val="nil"/>
                  </w:tcBorders>
                  <w:vAlign w:val="center"/>
                </w:tcPr>
                <w:p w14:paraId="20BC7E7C">
                  <w:pPr>
                    <w:pStyle w:val="33"/>
                    <w:rPr>
                      <w:color w:val="auto"/>
                    </w:rPr>
                  </w:pPr>
                  <w:r>
                    <w:rPr>
                      <w:rFonts w:hint="eastAsia"/>
                      <w:color w:val="auto"/>
                    </w:rPr>
                    <w:t>产污环节</w:t>
                  </w:r>
                </w:p>
              </w:tc>
              <w:tc>
                <w:tcPr>
                  <w:tcW w:w="900" w:type="dxa"/>
                  <w:tcBorders>
                    <w:tl2br w:val="nil"/>
                    <w:tr2bl w:val="nil"/>
                  </w:tcBorders>
                  <w:vAlign w:val="center"/>
                </w:tcPr>
                <w:p w14:paraId="7A4D30C3">
                  <w:pPr>
                    <w:pStyle w:val="33"/>
                    <w:rPr>
                      <w:color w:val="auto"/>
                    </w:rPr>
                  </w:pPr>
                  <w:r>
                    <w:rPr>
                      <w:rFonts w:hint="eastAsia"/>
                      <w:color w:val="auto"/>
                    </w:rPr>
                    <w:t>废水量m</w:t>
                  </w:r>
                  <w:r>
                    <w:rPr>
                      <w:rFonts w:hint="eastAsia"/>
                      <w:color w:val="auto"/>
                      <w:vertAlign w:val="superscript"/>
                    </w:rPr>
                    <w:t>3</w:t>
                  </w:r>
                  <w:r>
                    <w:rPr>
                      <w:rFonts w:hint="eastAsia"/>
                      <w:color w:val="auto"/>
                    </w:rPr>
                    <w:t>/a</w:t>
                  </w:r>
                </w:p>
              </w:tc>
              <w:tc>
                <w:tcPr>
                  <w:tcW w:w="1118" w:type="dxa"/>
                  <w:tcBorders>
                    <w:tl2br w:val="nil"/>
                    <w:tr2bl w:val="nil"/>
                  </w:tcBorders>
                  <w:vAlign w:val="center"/>
                </w:tcPr>
                <w:p w14:paraId="7E54A13F">
                  <w:pPr>
                    <w:pStyle w:val="33"/>
                    <w:rPr>
                      <w:color w:val="auto"/>
                    </w:rPr>
                  </w:pPr>
                  <w:r>
                    <w:rPr>
                      <w:rFonts w:hint="eastAsia"/>
                      <w:color w:val="auto"/>
                    </w:rPr>
                    <w:t>污染物</w:t>
                  </w:r>
                </w:p>
              </w:tc>
              <w:tc>
                <w:tcPr>
                  <w:tcW w:w="887" w:type="dxa"/>
                  <w:tcBorders>
                    <w:tl2br w:val="nil"/>
                    <w:tr2bl w:val="nil"/>
                  </w:tcBorders>
                  <w:vAlign w:val="center"/>
                </w:tcPr>
                <w:p w14:paraId="0FBAEA32">
                  <w:pPr>
                    <w:pStyle w:val="33"/>
                    <w:rPr>
                      <w:color w:val="auto"/>
                    </w:rPr>
                  </w:pPr>
                  <w:r>
                    <w:rPr>
                      <w:rFonts w:hint="eastAsia"/>
                      <w:color w:val="auto"/>
                    </w:rPr>
                    <w:t>产生浓度mg/L</w:t>
                  </w:r>
                </w:p>
              </w:tc>
              <w:tc>
                <w:tcPr>
                  <w:tcW w:w="816" w:type="dxa"/>
                  <w:tcBorders>
                    <w:tl2br w:val="nil"/>
                    <w:tr2bl w:val="nil"/>
                  </w:tcBorders>
                  <w:vAlign w:val="center"/>
                </w:tcPr>
                <w:p w14:paraId="10B740D5">
                  <w:pPr>
                    <w:pStyle w:val="33"/>
                    <w:rPr>
                      <w:color w:val="auto"/>
                    </w:rPr>
                  </w:pPr>
                  <w:r>
                    <w:rPr>
                      <w:rFonts w:hint="eastAsia"/>
                      <w:color w:val="auto"/>
                    </w:rPr>
                    <w:t>产生量t/a</w:t>
                  </w:r>
                </w:p>
              </w:tc>
              <w:tc>
                <w:tcPr>
                  <w:tcW w:w="588" w:type="dxa"/>
                  <w:tcBorders>
                    <w:tl2br w:val="nil"/>
                    <w:tr2bl w:val="nil"/>
                  </w:tcBorders>
                  <w:vAlign w:val="center"/>
                </w:tcPr>
                <w:p w14:paraId="613ED57D">
                  <w:pPr>
                    <w:pStyle w:val="33"/>
                    <w:rPr>
                      <w:color w:val="auto"/>
                    </w:rPr>
                  </w:pPr>
                  <w:r>
                    <w:rPr>
                      <w:rFonts w:hint="eastAsia"/>
                      <w:color w:val="auto"/>
                    </w:rPr>
                    <w:t>处理措施</w:t>
                  </w:r>
                </w:p>
              </w:tc>
              <w:tc>
                <w:tcPr>
                  <w:tcW w:w="564" w:type="dxa"/>
                  <w:tcBorders>
                    <w:tl2br w:val="nil"/>
                    <w:tr2bl w:val="nil"/>
                  </w:tcBorders>
                  <w:vAlign w:val="center"/>
                </w:tcPr>
                <w:p w14:paraId="4290F965">
                  <w:pPr>
                    <w:pStyle w:val="33"/>
                    <w:rPr>
                      <w:color w:val="auto"/>
                    </w:rPr>
                  </w:pPr>
                  <w:r>
                    <w:rPr>
                      <w:rFonts w:hint="eastAsia"/>
                      <w:color w:val="auto"/>
                    </w:rPr>
                    <w:t>处理效率%</w:t>
                  </w:r>
                </w:p>
              </w:tc>
              <w:tc>
                <w:tcPr>
                  <w:tcW w:w="866" w:type="dxa"/>
                  <w:tcBorders>
                    <w:tl2br w:val="nil"/>
                    <w:tr2bl w:val="nil"/>
                  </w:tcBorders>
                  <w:vAlign w:val="center"/>
                </w:tcPr>
                <w:p w14:paraId="4EBC817D">
                  <w:pPr>
                    <w:pStyle w:val="33"/>
                    <w:rPr>
                      <w:color w:val="auto"/>
                    </w:rPr>
                  </w:pPr>
                  <w:r>
                    <w:rPr>
                      <w:rFonts w:hint="eastAsia"/>
                      <w:color w:val="auto"/>
                    </w:rPr>
                    <w:t>处理后浓度</w:t>
                  </w:r>
                </w:p>
              </w:tc>
              <w:tc>
                <w:tcPr>
                  <w:tcW w:w="834" w:type="dxa"/>
                  <w:tcBorders>
                    <w:tl2br w:val="nil"/>
                    <w:tr2bl w:val="nil"/>
                  </w:tcBorders>
                  <w:vAlign w:val="center"/>
                </w:tcPr>
                <w:p w14:paraId="30C08488">
                  <w:pPr>
                    <w:pStyle w:val="33"/>
                    <w:rPr>
                      <w:color w:val="auto"/>
                    </w:rPr>
                  </w:pPr>
                  <w:r>
                    <w:rPr>
                      <w:rFonts w:hint="eastAsia"/>
                      <w:color w:val="auto"/>
                    </w:rPr>
                    <w:t>排放量</w:t>
                  </w:r>
                </w:p>
              </w:tc>
              <w:tc>
                <w:tcPr>
                  <w:tcW w:w="902" w:type="dxa"/>
                  <w:tcBorders>
                    <w:tl2br w:val="nil"/>
                    <w:tr2bl w:val="nil"/>
                  </w:tcBorders>
                  <w:vAlign w:val="center"/>
                </w:tcPr>
                <w:p w14:paraId="64A9335D">
                  <w:pPr>
                    <w:pStyle w:val="33"/>
                    <w:rPr>
                      <w:color w:val="auto"/>
                    </w:rPr>
                  </w:pPr>
                  <w:r>
                    <w:rPr>
                      <w:rFonts w:hint="eastAsia"/>
                      <w:color w:val="auto"/>
                    </w:rPr>
                    <w:t>排放去向</w:t>
                  </w:r>
                </w:p>
              </w:tc>
            </w:tr>
            <w:tr w14:paraId="34276F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41" w:type="dxa"/>
                  <w:vMerge w:val="restart"/>
                  <w:tcBorders>
                    <w:tl2br w:val="nil"/>
                    <w:tr2bl w:val="nil"/>
                  </w:tcBorders>
                  <w:vAlign w:val="center"/>
                </w:tcPr>
                <w:p w14:paraId="72ADE853">
                  <w:pPr>
                    <w:pStyle w:val="33"/>
                    <w:rPr>
                      <w:color w:val="auto"/>
                    </w:rPr>
                  </w:pPr>
                  <w:r>
                    <w:rPr>
                      <w:rFonts w:hint="eastAsia"/>
                      <w:color w:val="auto"/>
                    </w:rPr>
                    <w:t>生活污水</w:t>
                  </w:r>
                </w:p>
              </w:tc>
              <w:tc>
                <w:tcPr>
                  <w:tcW w:w="900" w:type="dxa"/>
                  <w:vMerge w:val="restart"/>
                  <w:tcBorders>
                    <w:tl2br w:val="nil"/>
                    <w:tr2bl w:val="nil"/>
                  </w:tcBorders>
                  <w:vAlign w:val="center"/>
                </w:tcPr>
                <w:p w14:paraId="14B69AFC">
                  <w:pPr>
                    <w:pStyle w:val="33"/>
                    <w:rPr>
                      <w:color w:val="auto"/>
                    </w:rPr>
                  </w:pPr>
                  <w:r>
                    <w:rPr>
                      <w:rFonts w:hint="eastAsia"/>
                      <w:color w:val="auto"/>
                    </w:rPr>
                    <w:t>382.8</w:t>
                  </w:r>
                </w:p>
              </w:tc>
              <w:tc>
                <w:tcPr>
                  <w:tcW w:w="1118" w:type="dxa"/>
                  <w:tcBorders>
                    <w:tl2br w:val="nil"/>
                    <w:tr2bl w:val="nil"/>
                  </w:tcBorders>
                  <w:vAlign w:val="center"/>
                </w:tcPr>
                <w:p w14:paraId="3C647F80">
                  <w:pPr>
                    <w:pStyle w:val="33"/>
                    <w:rPr>
                      <w:color w:val="auto"/>
                    </w:rPr>
                  </w:pPr>
                  <w:r>
                    <w:rPr>
                      <w:rFonts w:hint="eastAsia"/>
                      <w:color w:val="auto"/>
                    </w:rPr>
                    <w:t>CODcr</w:t>
                  </w:r>
                </w:p>
              </w:tc>
              <w:tc>
                <w:tcPr>
                  <w:tcW w:w="887" w:type="dxa"/>
                  <w:tcBorders>
                    <w:tl2br w:val="nil"/>
                    <w:tr2bl w:val="nil"/>
                  </w:tcBorders>
                  <w:vAlign w:val="center"/>
                </w:tcPr>
                <w:p w14:paraId="767C360D">
                  <w:pPr>
                    <w:pStyle w:val="33"/>
                    <w:rPr>
                      <w:color w:val="auto"/>
                    </w:rPr>
                  </w:pPr>
                  <w:r>
                    <w:rPr>
                      <w:rFonts w:hint="eastAsia"/>
                      <w:color w:val="auto"/>
                    </w:rPr>
                    <w:t>250</w:t>
                  </w:r>
                </w:p>
              </w:tc>
              <w:tc>
                <w:tcPr>
                  <w:tcW w:w="816" w:type="dxa"/>
                  <w:tcBorders>
                    <w:tl2br w:val="nil"/>
                    <w:tr2bl w:val="nil"/>
                  </w:tcBorders>
                  <w:vAlign w:val="center"/>
                </w:tcPr>
                <w:p w14:paraId="163287C9">
                  <w:pPr>
                    <w:pStyle w:val="33"/>
                    <w:rPr>
                      <w:color w:val="auto"/>
                    </w:rPr>
                  </w:pPr>
                  <w:r>
                    <w:rPr>
                      <w:rFonts w:hint="eastAsia"/>
                      <w:color w:val="auto"/>
                    </w:rPr>
                    <w:t>0.0957</w:t>
                  </w:r>
                </w:p>
              </w:tc>
              <w:tc>
                <w:tcPr>
                  <w:tcW w:w="588" w:type="dxa"/>
                  <w:vMerge w:val="restart"/>
                  <w:tcBorders>
                    <w:tl2br w:val="nil"/>
                    <w:tr2bl w:val="nil"/>
                  </w:tcBorders>
                  <w:vAlign w:val="center"/>
                </w:tcPr>
                <w:p w14:paraId="2B8FF5A0">
                  <w:pPr>
                    <w:pStyle w:val="33"/>
                    <w:rPr>
                      <w:color w:val="auto"/>
                    </w:rPr>
                  </w:pPr>
                  <w:r>
                    <w:rPr>
                      <w:rFonts w:hint="eastAsia"/>
                      <w:color w:val="auto"/>
                    </w:rPr>
                    <w:t>三级化粪池</w:t>
                  </w:r>
                </w:p>
              </w:tc>
              <w:tc>
                <w:tcPr>
                  <w:tcW w:w="564" w:type="dxa"/>
                  <w:tcBorders>
                    <w:tl2br w:val="nil"/>
                    <w:tr2bl w:val="nil"/>
                  </w:tcBorders>
                  <w:vAlign w:val="center"/>
                </w:tcPr>
                <w:p w14:paraId="4CCEB92A">
                  <w:pPr>
                    <w:pStyle w:val="33"/>
                    <w:rPr>
                      <w:color w:val="auto"/>
                    </w:rPr>
                  </w:pPr>
                  <w:r>
                    <w:rPr>
                      <w:rFonts w:hint="eastAsia"/>
                      <w:color w:val="auto"/>
                    </w:rPr>
                    <w:t>50</w:t>
                  </w:r>
                </w:p>
              </w:tc>
              <w:tc>
                <w:tcPr>
                  <w:tcW w:w="866" w:type="dxa"/>
                  <w:tcBorders>
                    <w:tl2br w:val="nil"/>
                    <w:tr2bl w:val="nil"/>
                  </w:tcBorders>
                  <w:vAlign w:val="center"/>
                </w:tcPr>
                <w:p w14:paraId="31A26962">
                  <w:pPr>
                    <w:pStyle w:val="33"/>
                    <w:rPr>
                      <w:color w:val="auto"/>
                    </w:rPr>
                  </w:pPr>
                  <w:r>
                    <w:rPr>
                      <w:rFonts w:hint="eastAsia"/>
                      <w:color w:val="auto"/>
                    </w:rPr>
                    <w:t>125</w:t>
                  </w:r>
                </w:p>
              </w:tc>
              <w:tc>
                <w:tcPr>
                  <w:tcW w:w="834" w:type="dxa"/>
                  <w:tcBorders>
                    <w:tl2br w:val="nil"/>
                    <w:tr2bl w:val="nil"/>
                  </w:tcBorders>
                  <w:vAlign w:val="center"/>
                </w:tcPr>
                <w:p w14:paraId="3EB1A85F">
                  <w:pPr>
                    <w:pStyle w:val="33"/>
                    <w:rPr>
                      <w:color w:val="auto"/>
                    </w:rPr>
                  </w:pPr>
                  <w:r>
                    <w:rPr>
                      <w:rFonts w:hint="eastAsia"/>
                      <w:color w:val="auto"/>
                    </w:rPr>
                    <w:t>0.0479</w:t>
                  </w:r>
                </w:p>
              </w:tc>
              <w:tc>
                <w:tcPr>
                  <w:tcW w:w="902" w:type="dxa"/>
                  <w:vMerge w:val="restart"/>
                  <w:tcBorders>
                    <w:tl2br w:val="nil"/>
                    <w:tr2bl w:val="nil"/>
                  </w:tcBorders>
                  <w:vAlign w:val="center"/>
                </w:tcPr>
                <w:p w14:paraId="40952133">
                  <w:pPr>
                    <w:pStyle w:val="33"/>
                    <w:rPr>
                      <w:color w:val="auto"/>
                    </w:rPr>
                  </w:pPr>
                  <w:r>
                    <w:rPr>
                      <w:color w:val="auto"/>
                    </w:rPr>
                    <w:t>排入柳江区新兴工业园污水处理厂处理</w:t>
                  </w:r>
                </w:p>
              </w:tc>
            </w:tr>
            <w:tr w14:paraId="0D6080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41" w:type="dxa"/>
                  <w:vMerge w:val="continue"/>
                  <w:tcBorders>
                    <w:tl2br w:val="nil"/>
                    <w:tr2bl w:val="nil"/>
                  </w:tcBorders>
                  <w:vAlign w:val="center"/>
                </w:tcPr>
                <w:p w14:paraId="67EB8B62">
                  <w:pPr>
                    <w:pStyle w:val="33"/>
                    <w:rPr>
                      <w:color w:val="auto"/>
                    </w:rPr>
                  </w:pPr>
                </w:p>
              </w:tc>
              <w:tc>
                <w:tcPr>
                  <w:tcW w:w="900" w:type="dxa"/>
                  <w:vMerge w:val="continue"/>
                  <w:tcBorders>
                    <w:tl2br w:val="nil"/>
                    <w:tr2bl w:val="nil"/>
                  </w:tcBorders>
                  <w:vAlign w:val="center"/>
                </w:tcPr>
                <w:p w14:paraId="524F0B10">
                  <w:pPr>
                    <w:pStyle w:val="33"/>
                    <w:rPr>
                      <w:color w:val="auto"/>
                    </w:rPr>
                  </w:pPr>
                </w:p>
              </w:tc>
              <w:tc>
                <w:tcPr>
                  <w:tcW w:w="1118" w:type="dxa"/>
                  <w:tcBorders>
                    <w:tl2br w:val="nil"/>
                    <w:tr2bl w:val="nil"/>
                  </w:tcBorders>
                  <w:vAlign w:val="center"/>
                </w:tcPr>
                <w:p w14:paraId="3D684432">
                  <w:pPr>
                    <w:pStyle w:val="33"/>
                    <w:rPr>
                      <w:color w:val="auto"/>
                    </w:rPr>
                  </w:pPr>
                  <w:r>
                    <w:rPr>
                      <w:color w:val="auto"/>
                    </w:rPr>
                    <w:t>BOD</w:t>
                  </w:r>
                  <w:r>
                    <w:rPr>
                      <w:rFonts w:hint="eastAsia"/>
                      <w:color w:val="auto"/>
                      <w:vertAlign w:val="subscript"/>
                    </w:rPr>
                    <w:t>5</w:t>
                  </w:r>
                </w:p>
              </w:tc>
              <w:tc>
                <w:tcPr>
                  <w:tcW w:w="887" w:type="dxa"/>
                  <w:tcBorders>
                    <w:tl2br w:val="nil"/>
                    <w:tr2bl w:val="nil"/>
                  </w:tcBorders>
                  <w:vAlign w:val="center"/>
                </w:tcPr>
                <w:p w14:paraId="640D14C5">
                  <w:pPr>
                    <w:pStyle w:val="33"/>
                    <w:rPr>
                      <w:color w:val="auto"/>
                    </w:rPr>
                  </w:pPr>
                  <w:r>
                    <w:rPr>
                      <w:rFonts w:hint="eastAsia"/>
                      <w:color w:val="auto"/>
                    </w:rPr>
                    <w:t>150</w:t>
                  </w:r>
                </w:p>
              </w:tc>
              <w:tc>
                <w:tcPr>
                  <w:tcW w:w="816" w:type="dxa"/>
                  <w:tcBorders>
                    <w:tl2br w:val="nil"/>
                    <w:tr2bl w:val="nil"/>
                  </w:tcBorders>
                  <w:vAlign w:val="center"/>
                </w:tcPr>
                <w:p w14:paraId="64E2A4E7">
                  <w:pPr>
                    <w:pStyle w:val="33"/>
                    <w:rPr>
                      <w:color w:val="auto"/>
                    </w:rPr>
                  </w:pPr>
                  <w:r>
                    <w:rPr>
                      <w:rFonts w:hint="eastAsia"/>
                      <w:color w:val="auto"/>
                    </w:rPr>
                    <w:t>0.0574</w:t>
                  </w:r>
                </w:p>
              </w:tc>
              <w:tc>
                <w:tcPr>
                  <w:tcW w:w="588" w:type="dxa"/>
                  <w:vMerge w:val="continue"/>
                  <w:tcBorders>
                    <w:tl2br w:val="nil"/>
                    <w:tr2bl w:val="nil"/>
                  </w:tcBorders>
                  <w:vAlign w:val="center"/>
                </w:tcPr>
                <w:p w14:paraId="65DD1BDD">
                  <w:pPr>
                    <w:pStyle w:val="33"/>
                    <w:rPr>
                      <w:color w:val="auto"/>
                    </w:rPr>
                  </w:pPr>
                </w:p>
              </w:tc>
              <w:tc>
                <w:tcPr>
                  <w:tcW w:w="564" w:type="dxa"/>
                  <w:tcBorders>
                    <w:tl2br w:val="nil"/>
                    <w:tr2bl w:val="nil"/>
                  </w:tcBorders>
                  <w:vAlign w:val="center"/>
                </w:tcPr>
                <w:p w14:paraId="6E82E757">
                  <w:pPr>
                    <w:pStyle w:val="33"/>
                    <w:rPr>
                      <w:color w:val="auto"/>
                    </w:rPr>
                  </w:pPr>
                  <w:r>
                    <w:rPr>
                      <w:rFonts w:hint="eastAsia"/>
                      <w:color w:val="auto"/>
                    </w:rPr>
                    <w:t>60</w:t>
                  </w:r>
                </w:p>
              </w:tc>
              <w:tc>
                <w:tcPr>
                  <w:tcW w:w="866" w:type="dxa"/>
                  <w:tcBorders>
                    <w:tl2br w:val="nil"/>
                    <w:tr2bl w:val="nil"/>
                  </w:tcBorders>
                  <w:vAlign w:val="center"/>
                </w:tcPr>
                <w:p w14:paraId="2EF1F0B0">
                  <w:pPr>
                    <w:pStyle w:val="33"/>
                    <w:rPr>
                      <w:color w:val="auto"/>
                    </w:rPr>
                  </w:pPr>
                  <w:r>
                    <w:rPr>
                      <w:rFonts w:hint="eastAsia"/>
                      <w:color w:val="auto"/>
                    </w:rPr>
                    <w:t>60</w:t>
                  </w:r>
                </w:p>
              </w:tc>
              <w:tc>
                <w:tcPr>
                  <w:tcW w:w="834" w:type="dxa"/>
                  <w:tcBorders>
                    <w:tl2br w:val="nil"/>
                    <w:tr2bl w:val="nil"/>
                  </w:tcBorders>
                  <w:vAlign w:val="center"/>
                </w:tcPr>
                <w:p w14:paraId="12AB61FD">
                  <w:pPr>
                    <w:pStyle w:val="33"/>
                    <w:rPr>
                      <w:color w:val="auto"/>
                    </w:rPr>
                  </w:pPr>
                  <w:r>
                    <w:rPr>
                      <w:rFonts w:hint="eastAsia"/>
                      <w:color w:val="auto"/>
                    </w:rPr>
                    <w:t>0.023</w:t>
                  </w:r>
                </w:p>
              </w:tc>
              <w:tc>
                <w:tcPr>
                  <w:tcW w:w="902" w:type="dxa"/>
                  <w:vMerge w:val="continue"/>
                  <w:tcBorders>
                    <w:tl2br w:val="nil"/>
                    <w:tr2bl w:val="nil"/>
                  </w:tcBorders>
                  <w:vAlign w:val="center"/>
                </w:tcPr>
                <w:p w14:paraId="53DAD66A">
                  <w:pPr>
                    <w:pStyle w:val="33"/>
                    <w:rPr>
                      <w:color w:val="auto"/>
                    </w:rPr>
                  </w:pPr>
                </w:p>
              </w:tc>
            </w:tr>
            <w:tr w14:paraId="56B619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41" w:type="dxa"/>
                  <w:vMerge w:val="continue"/>
                  <w:tcBorders>
                    <w:tl2br w:val="nil"/>
                    <w:tr2bl w:val="nil"/>
                  </w:tcBorders>
                  <w:vAlign w:val="center"/>
                </w:tcPr>
                <w:p w14:paraId="4A2E2F66">
                  <w:pPr>
                    <w:pStyle w:val="33"/>
                    <w:rPr>
                      <w:color w:val="auto"/>
                    </w:rPr>
                  </w:pPr>
                </w:p>
              </w:tc>
              <w:tc>
                <w:tcPr>
                  <w:tcW w:w="900" w:type="dxa"/>
                  <w:vMerge w:val="continue"/>
                  <w:tcBorders>
                    <w:tl2br w:val="nil"/>
                    <w:tr2bl w:val="nil"/>
                  </w:tcBorders>
                  <w:vAlign w:val="center"/>
                </w:tcPr>
                <w:p w14:paraId="68DD3CC9">
                  <w:pPr>
                    <w:pStyle w:val="33"/>
                    <w:rPr>
                      <w:color w:val="auto"/>
                    </w:rPr>
                  </w:pPr>
                </w:p>
              </w:tc>
              <w:tc>
                <w:tcPr>
                  <w:tcW w:w="1118" w:type="dxa"/>
                  <w:tcBorders>
                    <w:tl2br w:val="nil"/>
                    <w:tr2bl w:val="nil"/>
                  </w:tcBorders>
                  <w:vAlign w:val="center"/>
                </w:tcPr>
                <w:p w14:paraId="0A71D7F8">
                  <w:pPr>
                    <w:pStyle w:val="33"/>
                    <w:rPr>
                      <w:color w:val="auto"/>
                    </w:rPr>
                  </w:pPr>
                  <w:r>
                    <w:rPr>
                      <w:color w:val="auto"/>
                    </w:rPr>
                    <w:t>SS</w:t>
                  </w:r>
                </w:p>
              </w:tc>
              <w:tc>
                <w:tcPr>
                  <w:tcW w:w="887" w:type="dxa"/>
                  <w:tcBorders>
                    <w:tl2br w:val="nil"/>
                    <w:tr2bl w:val="nil"/>
                  </w:tcBorders>
                  <w:vAlign w:val="center"/>
                </w:tcPr>
                <w:p w14:paraId="4C76FC9D">
                  <w:pPr>
                    <w:pStyle w:val="33"/>
                    <w:rPr>
                      <w:color w:val="auto"/>
                    </w:rPr>
                  </w:pPr>
                  <w:r>
                    <w:rPr>
                      <w:rFonts w:hint="eastAsia"/>
                      <w:color w:val="auto"/>
                    </w:rPr>
                    <w:t>200</w:t>
                  </w:r>
                </w:p>
              </w:tc>
              <w:tc>
                <w:tcPr>
                  <w:tcW w:w="816" w:type="dxa"/>
                  <w:tcBorders>
                    <w:tl2br w:val="nil"/>
                    <w:tr2bl w:val="nil"/>
                  </w:tcBorders>
                  <w:vAlign w:val="center"/>
                </w:tcPr>
                <w:p w14:paraId="0BC603BB">
                  <w:pPr>
                    <w:pStyle w:val="33"/>
                    <w:rPr>
                      <w:color w:val="auto"/>
                    </w:rPr>
                  </w:pPr>
                  <w:r>
                    <w:rPr>
                      <w:rFonts w:hint="eastAsia"/>
                      <w:color w:val="auto"/>
                    </w:rPr>
                    <w:t>0.0766</w:t>
                  </w:r>
                </w:p>
              </w:tc>
              <w:tc>
                <w:tcPr>
                  <w:tcW w:w="588" w:type="dxa"/>
                  <w:vMerge w:val="continue"/>
                  <w:tcBorders>
                    <w:tl2br w:val="nil"/>
                    <w:tr2bl w:val="nil"/>
                  </w:tcBorders>
                  <w:vAlign w:val="center"/>
                </w:tcPr>
                <w:p w14:paraId="4689D79A">
                  <w:pPr>
                    <w:pStyle w:val="33"/>
                    <w:rPr>
                      <w:color w:val="auto"/>
                    </w:rPr>
                  </w:pPr>
                </w:p>
              </w:tc>
              <w:tc>
                <w:tcPr>
                  <w:tcW w:w="564" w:type="dxa"/>
                  <w:tcBorders>
                    <w:tl2br w:val="nil"/>
                    <w:tr2bl w:val="nil"/>
                  </w:tcBorders>
                  <w:vAlign w:val="center"/>
                </w:tcPr>
                <w:p w14:paraId="31211167">
                  <w:pPr>
                    <w:pStyle w:val="33"/>
                    <w:rPr>
                      <w:color w:val="auto"/>
                    </w:rPr>
                  </w:pPr>
                  <w:r>
                    <w:rPr>
                      <w:rFonts w:hint="eastAsia"/>
                      <w:color w:val="auto"/>
                    </w:rPr>
                    <w:t>65</w:t>
                  </w:r>
                </w:p>
              </w:tc>
              <w:tc>
                <w:tcPr>
                  <w:tcW w:w="866" w:type="dxa"/>
                  <w:tcBorders>
                    <w:tl2br w:val="nil"/>
                    <w:tr2bl w:val="nil"/>
                  </w:tcBorders>
                  <w:vAlign w:val="center"/>
                </w:tcPr>
                <w:p w14:paraId="5CA569D1">
                  <w:pPr>
                    <w:pStyle w:val="33"/>
                    <w:rPr>
                      <w:color w:val="auto"/>
                    </w:rPr>
                  </w:pPr>
                  <w:r>
                    <w:rPr>
                      <w:rFonts w:hint="eastAsia"/>
                      <w:color w:val="auto"/>
                    </w:rPr>
                    <w:t>70</w:t>
                  </w:r>
                </w:p>
              </w:tc>
              <w:tc>
                <w:tcPr>
                  <w:tcW w:w="834" w:type="dxa"/>
                  <w:tcBorders>
                    <w:tl2br w:val="nil"/>
                    <w:tr2bl w:val="nil"/>
                  </w:tcBorders>
                  <w:vAlign w:val="center"/>
                </w:tcPr>
                <w:p w14:paraId="50D9691E">
                  <w:pPr>
                    <w:pStyle w:val="33"/>
                    <w:rPr>
                      <w:color w:val="auto"/>
                    </w:rPr>
                  </w:pPr>
                  <w:r>
                    <w:rPr>
                      <w:rFonts w:hint="eastAsia"/>
                      <w:color w:val="auto"/>
                    </w:rPr>
                    <w:t>0.0268</w:t>
                  </w:r>
                </w:p>
              </w:tc>
              <w:tc>
                <w:tcPr>
                  <w:tcW w:w="902" w:type="dxa"/>
                  <w:vMerge w:val="continue"/>
                  <w:tcBorders>
                    <w:tl2br w:val="nil"/>
                    <w:tr2bl w:val="nil"/>
                  </w:tcBorders>
                  <w:vAlign w:val="center"/>
                </w:tcPr>
                <w:p w14:paraId="3FA276D8">
                  <w:pPr>
                    <w:pStyle w:val="33"/>
                    <w:rPr>
                      <w:color w:val="auto"/>
                    </w:rPr>
                  </w:pPr>
                </w:p>
              </w:tc>
            </w:tr>
            <w:tr w14:paraId="4CBE1D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541" w:type="dxa"/>
                  <w:vMerge w:val="continue"/>
                  <w:tcBorders>
                    <w:tl2br w:val="nil"/>
                    <w:tr2bl w:val="nil"/>
                  </w:tcBorders>
                  <w:vAlign w:val="center"/>
                </w:tcPr>
                <w:p w14:paraId="22F2C154">
                  <w:pPr>
                    <w:pStyle w:val="33"/>
                    <w:rPr>
                      <w:color w:val="auto"/>
                    </w:rPr>
                  </w:pPr>
                </w:p>
              </w:tc>
              <w:tc>
                <w:tcPr>
                  <w:tcW w:w="900" w:type="dxa"/>
                  <w:vMerge w:val="continue"/>
                  <w:tcBorders>
                    <w:tl2br w:val="nil"/>
                    <w:tr2bl w:val="nil"/>
                  </w:tcBorders>
                  <w:vAlign w:val="center"/>
                </w:tcPr>
                <w:p w14:paraId="55EF85A3">
                  <w:pPr>
                    <w:pStyle w:val="33"/>
                    <w:rPr>
                      <w:color w:val="auto"/>
                    </w:rPr>
                  </w:pPr>
                </w:p>
              </w:tc>
              <w:tc>
                <w:tcPr>
                  <w:tcW w:w="1118" w:type="dxa"/>
                  <w:tcBorders>
                    <w:tl2br w:val="nil"/>
                    <w:tr2bl w:val="nil"/>
                  </w:tcBorders>
                  <w:vAlign w:val="center"/>
                </w:tcPr>
                <w:p w14:paraId="60E69B0D">
                  <w:pPr>
                    <w:pStyle w:val="33"/>
                    <w:rPr>
                      <w:color w:val="auto"/>
                    </w:rPr>
                  </w:pPr>
                  <w:r>
                    <w:rPr>
                      <w:color w:val="auto"/>
                    </w:rPr>
                    <w:t>NH</w:t>
                  </w:r>
                  <w:r>
                    <w:rPr>
                      <w:rFonts w:hint="eastAsia"/>
                      <w:color w:val="auto"/>
                      <w:vertAlign w:val="subscript"/>
                    </w:rPr>
                    <w:t>3</w:t>
                  </w:r>
                  <w:r>
                    <w:rPr>
                      <w:color w:val="auto"/>
                    </w:rPr>
                    <w:t>-N</w:t>
                  </w:r>
                </w:p>
              </w:tc>
              <w:tc>
                <w:tcPr>
                  <w:tcW w:w="887" w:type="dxa"/>
                  <w:tcBorders>
                    <w:tl2br w:val="nil"/>
                    <w:tr2bl w:val="nil"/>
                  </w:tcBorders>
                  <w:vAlign w:val="center"/>
                </w:tcPr>
                <w:p w14:paraId="09D71D97">
                  <w:pPr>
                    <w:pStyle w:val="33"/>
                    <w:rPr>
                      <w:color w:val="auto"/>
                    </w:rPr>
                  </w:pPr>
                  <w:r>
                    <w:rPr>
                      <w:rFonts w:hint="eastAsia"/>
                      <w:color w:val="auto"/>
                    </w:rPr>
                    <w:t>30</w:t>
                  </w:r>
                </w:p>
              </w:tc>
              <w:tc>
                <w:tcPr>
                  <w:tcW w:w="816" w:type="dxa"/>
                  <w:tcBorders>
                    <w:tl2br w:val="nil"/>
                    <w:tr2bl w:val="nil"/>
                  </w:tcBorders>
                  <w:vAlign w:val="center"/>
                </w:tcPr>
                <w:p w14:paraId="1C96D17F">
                  <w:pPr>
                    <w:pStyle w:val="33"/>
                    <w:rPr>
                      <w:color w:val="auto"/>
                    </w:rPr>
                  </w:pPr>
                  <w:r>
                    <w:rPr>
                      <w:rFonts w:hint="eastAsia"/>
                      <w:color w:val="auto"/>
                    </w:rPr>
                    <w:t>0.0115</w:t>
                  </w:r>
                </w:p>
              </w:tc>
              <w:tc>
                <w:tcPr>
                  <w:tcW w:w="588" w:type="dxa"/>
                  <w:vMerge w:val="continue"/>
                  <w:tcBorders>
                    <w:tl2br w:val="nil"/>
                    <w:tr2bl w:val="nil"/>
                  </w:tcBorders>
                  <w:vAlign w:val="center"/>
                </w:tcPr>
                <w:p w14:paraId="60EFABFC">
                  <w:pPr>
                    <w:pStyle w:val="33"/>
                    <w:rPr>
                      <w:color w:val="auto"/>
                    </w:rPr>
                  </w:pPr>
                </w:p>
              </w:tc>
              <w:tc>
                <w:tcPr>
                  <w:tcW w:w="564" w:type="dxa"/>
                  <w:tcBorders>
                    <w:tl2br w:val="nil"/>
                    <w:tr2bl w:val="nil"/>
                  </w:tcBorders>
                  <w:vAlign w:val="center"/>
                </w:tcPr>
                <w:p w14:paraId="65A5BAE3">
                  <w:pPr>
                    <w:pStyle w:val="33"/>
                    <w:rPr>
                      <w:color w:val="auto"/>
                    </w:rPr>
                  </w:pPr>
                  <w:r>
                    <w:rPr>
                      <w:rFonts w:hint="eastAsia"/>
                      <w:color w:val="auto"/>
                    </w:rPr>
                    <w:t>5</w:t>
                  </w:r>
                </w:p>
              </w:tc>
              <w:tc>
                <w:tcPr>
                  <w:tcW w:w="866" w:type="dxa"/>
                  <w:tcBorders>
                    <w:tl2br w:val="nil"/>
                    <w:tr2bl w:val="nil"/>
                  </w:tcBorders>
                  <w:vAlign w:val="center"/>
                </w:tcPr>
                <w:p w14:paraId="21FF763A">
                  <w:pPr>
                    <w:pStyle w:val="33"/>
                    <w:rPr>
                      <w:color w:val="auto"/>
                    </w:rPr>
                  </w:pPr>
                  <w:r>
                    <w:rPr>
                      <w:rFonts w:hint="eastAsia"/>
                      <w:color w:val="auto"/>
                    </w:rPr>
                    <w:t>28.5</w:t>
                  </w:r>
                </w:p>
              </w:tc>
              <w:tc>
                <w:tcPr>
                  <w:tcW w:w="834" w:type="dxa"/>
                  <w:tcBorders>
                    <w:tl2br w:val="nil"/>
                    <w:tr2bl w:val="nil"/>
                  </w:tcBorders>
                  <w:vAlign w:val="center"/>
                </w:tcPr>
                <w:p w14:paraId="606747CA">
                  <w:pPr>
                    <w:pStyle w:val="33"/>
                    <w:rPr>
                      <w:color w:val="auto"/>
                    </w:rPr>
                  </w:pPr>
                  <w:r>
                    <w:rPr>
                      <w:rFonts w:hint="eastAsia"/>
                      <w:color w:val="auto"/>
                    </w:rPr>
                    <w:t>0.0109</w:t>
                  </w:r>
                </w:p>
              </w:tc>
              <w:tc>
                <w:tcPr>
                  <w:tcW w:w="902" w:type="dxa"/>
                  <w:vMerge w:val="continue"/>
                  <w:tcBorders>
                    <w:tl2br w:val="nil"/>
                    <w:tr2bl w:val="nil"/>
                  </w:tcBorders>
                  <w:vAlign w:val="center"/>
                </w:tcPr>
                <w:p w14:paraId="7539FD7A">
                  <w:pPr>
                    <w:pStyle w:val="33"/>
                    <w:rPr>
                      <w:color w:val="auto"/>
                    </w:rPr>
                  </w:pPr>
                </w:p>
              </w:tc>
            </w:tr>
            <w:tr w14:paraId="208180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41" w:type="dxa"/>
                  <w:vMerge w:val="restart"/>
                  <w:tcBorders>
                    <w:tl2br w:val="nil"/>
                    <w:tr2bl w:val="nil"/>
                  </w:tcBorders>
                  <w:vAlign w:val="center"/>
                </w:tcPr>
                <w:p w14:paraId="3470D69B">
                  <w:pPr>
                    <w:pStyle w:val="33"/>
                    <w:rPr>
                      <w:color w:val="auto"/>
                    </w:rPr>
                  </w:pPr>
                  <w:r>
                    <w:rPr>
                      <w:rFonts w:hint="eastAsia"/>
                      <w:color w:val="auto"/>
                    </w:rPr>
                    <w:t>生产废水</w:t>
                  </w:r>
                </w:p>
              </w:tc>
              <w:tc>
                <w:tcPr>
                  <w:tcW w:w="900" w:type="dxa"/>
                  <w:vMerge w:val="restart"/>
                  <w:tcBorders>
                    <w:tl2br w:val="nil"/>
                    <w:tr2bl w:val="nil"/>
                  </w:tcBorders>
                  <w:vAlign w:val="center"/>
                </w:tcPr>
                <w:p w14:paraId="67E5BAB1">
                  <w:pPr>
                    <w:pStyle w:val="33"/>
                    <w:rPr>
                      <w:rFonts w:hint="default" w:eastAsia="宋体"/>
                      <w:color w:val="auto"/>
                      <w:lang w:val="en-US" w:eastAsia="zh-CN"/>
                    </w:rPr>
                  </w:pPr>
                  <w:r>
                    <w:rPr>
                      <w:rFonts w:hint="eastAsia"/>
                      <w:color w:val="auto"/>
                      <w:lang w:val="en-US" w:eastAsia="zh-CN"/>
                    </w:rPr>
                    <w:t>955.972</w:t>
                  </w:r>
                </w:p>
              </w:tc>
              <w:tc>
                <w:tcPr>
                  <w:tcW w:w="1118" w:type="dxa"/>
                  <w:tcBorders>
                    <w:tl2br w:val="nil"/>
                    <w:tr2bl w:val="nil"/>
                  </w:tcBorders>
                  <w:vAlign w:val="center"/>
                </w:tcPr>
                <w:p w14:paraId="733815F4">
                  <w:pPr>
                    <w:pStyle w:val="33"/>
                    <w:rPr>
                      <w:color w:val="auto"/>
                    </w:rPr>
                  </w:pPr>
                  <w:r>
                    <w:rPr>
                      <w:rFonts w:hint="eastAsia"/>
                      <w:color w:val="auto"/>
                    </w:rPr>
                    <w:t>CODcr</w:t>
                  </w:r>
                </w:p>
              </w:tc>
              <w:tc>
                <w:tcPr>
                  <w:tcW w:w="887" w:type="dxa"/>
                  <w:tcBorders>
                    <w:tl2br w:val="nil"/>
                    <w:tr2bl w:val="nil"/>
                  </w:tcBorders>
                  <w:vAlign w:val="center"/>
                </w:tcPr>
                <w:p w14:paraId="49AF22EF">
                  <w:pPr>
                    <w:pStyle w:val="33"/>
                    <w:rPr>
                      <w:rFonts w:hint="default" w:eastAsia="宋体"/>
                      <w:color w:val="auto"/>
                      <w:lang w:val="en-US" w:eastAsia="zh-CN"/>
                    </w:rPr>
                  </w:pPr>
                  <w:r>
                    <w:rPr>
                      <w:rFonts w:hint="eastAsia"/>
                      <w:color w:val="auto"/>
                      <w:lang w:val="en-US" w:eastAsia="zh-CN"/>
                    </w:rPr>
                    <w:t>545.11</w:t>
                  </w:r>
                </w:p>
              </w:tc>
              <w:tc>
                <w:tcPr>
                  <w:tcW w:w="816" w:type="dxa"/>
                  <w:tcBorders>
                    <w:tl2br w:val="nil"/>
                    <w:tr2bl w:val="nil"/>
                  </w:tcBorders>
                  <w:vAlign w:val="center"/>
                </w:tcPr>
                <w:p w14:paraId="5EDBF6E0">
                  <w:pPr>
                    <w:pStyle w:val="33"/>
                    <w:rPr>
                      <w:rFonts w:hint="default" w:eastAsia="宋体"/>
                      <w:color w:val="auto"/>
                      <w:lang w:val="en-US" w:eastAsia="zh-CN"/>
                    </w:rPr>
                  </w:pPr>
                  <w:r>
                    <w:rPr>
                      <w:rFonts w:hint="eastAsia"/>
                      <w:color w:val="auto"/>
                      <w:lang w:val="en-US" w:eastAsia="zh-CN"/>
                    </w:rPr>
                    <w:t>0.5211</w:t>
                  </w:r>
                </w:p>
              </w:tc>
              <w:tc>
                <w:tcPr>
                  <w:tcW w:w="588" w:type="dxa"/>
                  <w:vMerge w:val="restart"/>
                  <w:tcBorders>
                    <w:tl2br w:val="nil"/>
                    <w:tr2bl w:val="nil"/>
                  </w:tcBorders>
                  <w:vAlign w:val="center"/>
                </w:tcPr>
                <w:p w14:paraId="379AD73A">
                  <w:pPr>
                    <w:pStyle w:val="33"/>
                    <w:rPr>
                      <w:rFonts w:hint="eastAsia" w:eastAsia="宋体"/>
                      <w:color w:val="auto"/>
                      <w:lang w:eastAsia="zh-CN"/>
                    </w:rPr>
                  </w:pPr>
                  <w:r>
                    <w:rPr>
                      <w:rFonts w:hint="eastAsia"/>
                      <w:color w:val="auto"/>
                      <w:lang w:val="en-US" w:eastAsia="zh-CN"/>
                    </w:rPr>
                    <w:t>自建污水处理设施</w:t>
                  </w:r>
                </w:p>
              </w:tc>
              <w:tc>
                <w:tcPr>
                  <w:tcW w:w="564" w:type="dxa"/>
                  <w:tcBorders>
                    <w:tl2br w:val="nil"/>
                    <w:tr2bl w:val="nil"/>
                  </w:tcBorders>
                  <w:vAlign w:val="center"/>
                </w:tcPr>
                <w:p w14:paraId="4A3F9C78">
                  <w:pPr>
                    <w:pStyle w:val="33"/>
                    <w:rPr>
                      <w:rFonts w:hint="default" w:eastAsia="宋体"/>
                      <w:color w:val="auto"/>
                      <w:lang w:val="en-US" w:eastAsia="zh-CN"/>
                    </w:rPr>
                  </w:pPr>
                  <w:r>
                    <w:rPr>
                      <w:rFonts w:hint="eastAsia"/>
                      <w:color w:val="auto"/>
                      <w:lang w:val="en-US" w:eastAsia="zh-CN"/>
                    </w:rPr>
                    <w:t>45</w:t>
                  </w:r>
                </w:p>
              </w:tc>
              <w:tc>
                <w:tcPr>
                  <w:tcW w:w="866" w:type="dxa"/>
                  <w:tcBorders>
                    <w:tl2br w:val="nil"/>
                    <w:tr2bl w:val="nil"/>
                  </w:tcBorders>
                  <w:vAlign w:val="center"/>
                </w:tcPr>
                <w:p w14:paraId="05627D9E">
                  <w:pPr>
                    <w:pStyle w:val="33"/>
                    <w:rPr>
                      <w:rFonts w:hint="default" w:eastAsia="宋体"/>
                      <w:color w:val="auto"/>
                      <w:lang w:val="en-US" w:eastAsia="zh-CN"/>
                    </w:rPr>
                  </w:pPr>
                  <w:r>
                    <w:rPr>
                      <w:rFonts w:hint="eastAsia"/>
                      <w:color w:val="auto"/>
                      <w:lang w:val="en-US" w:eastAsia="zh-CN"/>
                    </w:rPr>
                    <w:t>299.81</w:t>
                  </w:r>
                </w:p>
              </w:tc>
              <w:tc>
                <w:tcPr>
                  <w:tcW w:w="834" w:type="dxa"/>
                  <w:tcBorders>
                    <w:tl2br w:val="nil"/>
                    <w:tr2bl w:val="nil"/>
                  </w:tcBorders>
                  <w:vAlign w:val="center"/>
                </w:tcPr>
                <w:p w14:paraId="2E79B798">
                  <w:pPr>
                    <w:pStyle w:val="33"/>
                    <w:rPr>
                      <w:rFonts w:hint="default" w:eastAsia="宋体"/>
                      <w:color w:val="auto"/>
                      <w:lang w:val="en-US" w:eastAsia="zh-CN"/>
                    </w:rPr>
                  </w:pPr>
                  <w:r>
                    <w:rPr>
                      <w:rFonts w:hint="eastAsia"/>
                      <w:color w:val="auto"/>
                      <w:lang w:val="en-US" w:eastAsia="zh-CN"/>
                    </w:rPr>
                    <w:t>0.2866</w:t>
                  </w:r>
                </w:p>
              </w:tc>
              <w:tc>
                <w:tcPr>
                  <w:tcW w:w="902" w:type="dxa"/>
                  <w:vMerge w:val="restart"/>
                  <w:tcBorders>
                    <w:tl2br w:val="nil"/>
                    <w:tr2bl w:val="nil"/>
                  </w:tcBorders>
                  <w:vAlign w:val="center"/>
                </w:tcPr>
                <w:p w14:paraId="0E85079B">
                  <w:pPr>
                    <w:pStyle w:val="33"/>
                    <w:rPr>
                      <w:color w:val="auto"/>
                    </w:rPr>
                  </w:pPr>
                  <w:r>
                    <w:rPr>
                      <w:color w:val="auto"/>
                    </w:rPr>
                    <w:t>排入柳江区新兴工业园污水处理厂处理</w:t>
                  </w:r>
                </w:p>
              </w:tc>
            </w:tr>
            <w:tr w14:paraId="4D0B4D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41" w:type="dxa"/>
                  <w:vMerge w:val="continue"/>
                  <w:tcBorders>
                    <w:tl2br w:val="nil"/>
                    <w:tr2bl w:val="nil"/>
                  </w:tcBorders>
                  <w:vAlign w:val="center"/>
                </w:tcPr>
                <w:p w14:paraId="2328BB81">
                  <w:pPr>
                    <w:pStyle w:val="33"/>
                    <w:rPr>
                      <w:color w:val="auto"/>
                    </w:rPr>
                  </w:pPr>
                </w:p>
              </w:tc>
              <w:tc>
                <w:tcPr>
                  <w:tcW w:w="900" w:type="dxa"/>
                  <w:vMerge w:val="continue"/>
                  <w:tcBorders>
                    <w:tl2br w:val="nil"/>
                    <w:tr2bl w:val="nil"/>
                  </w:tcBorders>
                  <w:vAlign w:val="center"/>
                </w:tcPr>
                <w:p w14:paraId="6CADF889">
                  <w:pPr>
                    <w:pStyle w:val="33"/>
                    <w:rPr>
                      <w:color w:val="auto"/>
                    </w:rPr>
                  </w:pPr>
                </w:p>
              </w:tc>
              <w:tc>
                <w:tcPr>
                  <w:tcW w:w="1118" w:type="dxa"/>
                  <w:tcBorders>
                    <w:tl2br w:val="nil"/>
                    <w:tr2bl w:val="nil"/>
                  </w:tcBorders>
                  <w:vAlign w:val="center"/>
                </w:tcPr>
                <w:p w14:paraId="69249435">
                  <w:pPr>
                    <w:pStyle w:val="33"/>
                    <w:rPr>
                      <w:color w:val="auto"/>
                    </w:rPr>
                  </w:pPr>
                  <w:r>
                    <w:rPr>
                      <w:color w:val="auto"/>
                    </w:rPr>
                    <w:t>BOD</w:t>
                  </w:r>
                  <w:r>
                    <w:rPr>
                      <w:rFonts w:hint="eastAsia"/>
                      <w:color w:val="auto"/>
                      <w:vertAlign w:val="subscript"/>
                    </w:rPr>
                    <w:t>5</w:t>
                  </w:r>
                </w:p>
              </w:tc>
              <w:tc>
                <w:tcPr>
                  <w:tcW w:w="887" w:type="dxa"/>
                  <w:tcBorders>
                    <w:tl2br w:val="nil"/>
                    <w:tr2bl w:val="nil"/>
                  </w:tcBorders>
                  <w:vAlign w:val="center"/>
                </w:tcPr>
                <w:p w14:paraId="3B569995">
                  <w:pPr>
                    <w:pStyle w:val="33"/>
                    <w:rPr>
                      <w:rFonts w:hint="default" w:eastAsia="宋体"/>
                      <w:color w:val="auto"/>
                      <w:lang w:val="en-US" w:eastAsia="zh-CN"/>
                    </w:rPr>
                  </w:pPr>
                  <w:r>
                    <w:rPr>
                      <w:rFonts w:hint="eastAsia"/>
                      <w:color w:val="auto"/>
                      <w:lang w:val="en-US" w:eastAsia="zh-CN"/>
                    </w:rPr>
                    <w:t>300</w:t>
                  </w:r>
                </w:p>
              </w:tc>
              <w:tc>
                <w:tcPr>
                  <w:tcW w:w="816" w:type="dxa"/>
                  <w:tcBorders>
                    <w:tl2br w:val="nil"/>
                    <w:tr2bl w:val="nil"/>
                  </w:tcBorders>
                  <w:vAlign w:val="center"/>
                </w:tcPr>
                <w:p w14:paraId="044ECB4A">
                  <w:pPr>
                    <w:pStyle w:val="33"/>
                    <w:rPr>
                      <w:rFonts w:hint="default" w:eastAsia="宋体"/>
                      <w:color w:val="auto"/>
                      <w:lang w:val="en-US" w:eastAsia="zh-CN"/>
                    </w:rPr>
                  </w:pPr>
                  <w:r>
                    <w:rPr>
                      <w:rFonts w:hint="eastAsia"/>
                      <w:color w:val="auto"/>
                      <w:lang w:val="en-US" w:eastAsia="zh-CN"/>
                    </w:rPr>
                    <w:t>0.2868</w:t>
                  </w:r>
                </w:p>
              </w:tc>
              <w:tc>
                <w:tcPr>
                  <w:tcW w:w="588" w:type="dxa"/>
                  <w:vMerge w:val="continue"/>
                  <w:tcBorders>
                    <w:tl2br w:val="nil"/>
                    <w:tr2bl w:val="nil"/>
                  </w:tcBorders>
                  <w:vAlign w:val="center"/>
                </w:tcPr>
                <w:p w14:paraId="5DD98769">
                  <w:pPr>
                    <w:pStyle w:val="33"/>
                    <w:rPr>
                      <w:color w:val="auto"/>
                    </w:rPr>
                  </w:pPr>
                </w:p>
              </w:tc>
              <w:tc>
                <w:tcPr>
                  <w:tcW w:w="564" w:type="dxa"/>
                  <w:tcBorders>
                    <w:tl2br w:val="nil"/>
                    <w:tr2bl w:val="nil"/>
                  </w:tcBorders>
                  <w:shd w:val="clear" w:color="auto" w:fill="auto"/>
                  <w:vAlign w:val="center"/>
                </w:tcPr>
                <w:p w14:paraId="7D2CA374">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83</w:t>
                  </w:r>
                </w:p>
              </w:tc>
              <w:tc>
                <w:tcPr>
                  <w:tcW w:w="866" w:type="dxa"/>
                  <w:tcBorders>
                    <w:tl2br w:val="nil"/>
                    <w:tr2bl w:val="nil"/>
                  </w:tcBorders>
                  <w:shd w:val="clear" w:color="auto" w:fill="auto"/>
                  <w:vAlign w:val="center"/>
                </w:tcPr>
                <w:p w14:paraId="348790F4">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51</w:t>
                  </w:r>
                </w:p>
              </w:tc>
              <w:tc>
                <w:tcPr>
                  <w:tcW w:w="834" w:type="dxa"/>
                  <w:tcBorders>
                    <w:tl2br w:val="nil"/>
                    <w:tr2bl w:val="nil"/>
                  </w:tcBorders>
                  <w:shd w:val="clear" w:color="auto" w:fill="auto"/>
                  <w:vAlign w:val="center"/>
                </w:tcPr>
                <w:p w14:paraId="4FD0A533">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0.0488</w:t>
                  </w:r>
                </w:p>
              </w:tc>
              <w:tc>
                <w:tcPr>
                  <w:tcW w:w="902" w:type="dxa"/>
                  <w:vMerge w:val="continue"/>
                  <w:tcBorders>
                    <w:tl2br w:val="nil"/>
                    <w:tr2bl w:val="nil"/>
                  </w:tcBorders>
                  <w:vAlign w:val="center"/>
                </w:tcPr>
                <w:p w14:paraId="125E7716">
                  <w:pPr>
                    <w:pStyle w:val="33"/>
                    <w:rPr>
                      <w:color w:val="auto"/>
                    </w:rPr>
                  </w:pPr>
                </w:p>
              </w:tc>
            </w:tr>
            <w:tr w14:paraId="7BD2EE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41" w:type="dxa"/>
                  <w:vMerge w:val="continue"/>
                  <w:tcBorders>
                    <w:tl2br w:val="nil"/>
                    <w:tr2bl w:val="nil"/>
                  </w:tcBorders>
                  <w:vAlign w:val="center"/>
                </w:tcPr>
                <w:p w14:paraId="45A8FE6B">
                  <w:pPr>
                    <w:pStyle w:val="33"/>
                    <w:rPr>
                      <w:color w:val="auto"/>
                    </w:rPr>
                  </w:pPr>
                </w:p>
              </w:tc>
              <w:tc>
                <w:tcPr>
                  <w:tcW w:w="900" w:type="dxa"/>
                  <w:vMerge w:val="continue"/>
                  <w:tcBorders>
                    <w:tl2br w:val="nil"/>
                    <w:tr2bl w:val="nil"/>
                  </w:tcBorders>
                  <w:vAlign w:val="center"/>
                </w:tcPr>
                <w:p w14:paraId="7F351D51">
                  <w:pPr>
                    <w:pStyle w:val="33"/>
                    <w:rPr>
                      <w:color w:val="auto"/>
                    </w:rPr>
                  </w:pPr>
                </w:p>
              </w:tc>
              <w:tc>
                <w:tcPr>
                  <w:tcW w:w="1118" w:type="dxa"/>
                  <w:tcBorders>
                    <w:tl2br w:val="nil"/>
                    <w:tr2bl w:val="nil"/>
                  </w:tcBorders>
                  <w:vAlign w:val="center"/>
                </w:tcPr>
                <w:p w14:paraId="33B2B373">
                  <w:pPr>
                    <w:pStyle w:val="33"/>
                    <w:rPr>
                      <w:color w:val="auto"/>
                    </w:rPr>
                  </w:pPr>
                  <w:r>
                    <w:rPr>
                      <w:color w:val="auto"/>
                    </w:rPr>
                    <w:t>SS</w:t>
                  </w:r>
                </w:p>
              </w:tc>
              <w:tc>
                <w:tcPr>
                  <w:tcW w:w="887" w:type="dxa"/>
                  <w:tcBorders>
                    <w:tl2br w:val="nil"/>
                    <w:tr2bl w:val="nil"/>
                  </w:tcBorders>
                  <w:vAlign w:val="center"/>
                </w:tcPr>
                <w:p w14:paraId="699B028A">
                  <w:pPr>
                    <w:pStyle w:val="33"/>
                    <w:rPr>
                      <w:rFonts w:hint="default" w:eastAsia="宋体"/>
                      <w:color w:val="auto"/>
                      <w:lang w:val="en-US" w:eastAsia="zh-CN"/>
                    </w:rPr>
                  </w:pPr>
                  <w:r>
                    <w:rPr>
                      <w:rFonts w:hint="eastAsia"/>
                      <w:color w:val="auto"/>
                      <w:lang w:val="en-US" w:eastAsia="zh-CN"/>
                    </w:rPr>
                    <w:t>350</w:t>
                  </w:r>
                </w:p>
              </w:tc>
              <w:tc>
                <w:tcPr>
                  <w:tcW w:w="816" w:type="dxa"/>
                  <w:tcBorders>
                    <w:tl2br w:val="nil"/>
                    <w:tr2bl w:val="nil"/>
                  </w:tcBorders>
                  <w:vAlign w:val="center"/>
                </w:tcPr>
                <w:p w14:paraId="7ABD5813">
                  <w:pPr>
                    <w:pStyle w:val="33"/>
                    <w:rPr>
                      <w:rFonts w:hint="default" w:eastAsia="宋体"/>
                      <w:color w:val="auto"/>
                      <w:lang w:val="en-US" w:eastAsia="zh-CN"/>
                    </w:rPr>
                  </w:pPr>
                  <w:r>
                    <w:rPr>
                      <w:rFonts w:hint="eastAsia"/>
                      <w:color w:val="auto"/>
                      <w:lang w:val="en-US" w:eastAsia="zh-CN"/>
                    </w:rPr>
                    <w:t>0.3346</w:t>
                  </w:r>
                </w:p>
              </w:tc>
              <w:tc>
                <w:tcPr>
                  <w:tcW w:w="588" w:type="dxa"/>
                  <w:vMerge w:val="continue"/>
                  <w:tcBorders>
                    <w:tl2br w:val="nil"/>
                    <w:tr2bl w:val="nil"/>
                  </w:tcBorders>
                  <w:vAlign w:val="center"/>
                </w:tcPr>
                <w:p w14:paraId="4CE8B8FA">
                  <w:pPr>
                    <w:pStyle w:val="33"/>
                    <w:rPr>
                      <w:color w:val="auto"/>
                    </w:rPr>
                  </w:pPr>
                </w:p>
              </w:tc>
              <w:tc>
                <w:tcPr>
                  <w:tcW w:w="564" w:type="dxa"/>
                  <w:tcBorders>
                    <w:tl2br w:val="nil"/>
                    <w:tr2bl w:val="nil"/>
                  </w:tcBorders>
                  <w:shd w:val="clear" w:color="auto" w:fill="auto"/>
                  <w:vAlign w:val="center"/>
                </w:tcPr>
                <w:p w14:paraId="170D3433">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71</w:t>
                  </w:r>
                </w:p>
              </w:tc>
              <w:tc>
                <w:tcPr>
                  <w:tcW w:w="866" w:type="dxa"/>
                  <w:tcBorders>
                    <w:tl2br w:val="nil"/>
                    <w:tr2bl w:val="nil"/>
                  </w:tcBorders>
                  <w:shd w:val="clear" w:color="auto" w:fill="auto"/>
                  <w:vAlign w:val="center"/>
                </w:tcPr>
                <w:p w14:paraId="70985926">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101.5</w:t>
                  </w:r>
                </w:p>
              </w:tc>
              <w:tc>
                <w:tcPr>
                  <w:tcW w:w="834" w:type="dxa"/>
                  <w:tcBorders>
                    <w:tl2br w:val="nil"/>
                    <w:tr2bl w:val="nil"/>
                  </w:tcBorders>
                  <w:shd w:val="clear" w:color="auto" w:fill="auto"/>
                  <w:vAlign w:val="center"/>
                </w:tcPr>
                <w:p w14:paraId="1FA0F1BB">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0.097</w:t>
                  </w:r>
                </w:p>
              </w:tc>
              <w:tc>
                <w:tcPr>
                  <w:tcW w:w="902" w:type="dxa"/>
                  <w:vMerge w:val="continue"/>
                  <w:tcBorders>
                    <w:tl2br w:val="nil"/>
                    <w:tr2bl w:val="nil"/>
                  </w:tcBorders>
                  <w:vAlign w:val="center"/>
                </w:tcPr>
                <w:p w14:paraId="7C664E33">
                  <w:pPr>
                    <w:pStyle w:val="33"/>
                    <w:rPr>
                      <w:color w:val="auto"/>
                    </w:rPr>
                  </w:pPr>
                </w:p>
              </w:tc>
            </w:tr>
            <w:tr w14:paraId="638270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41" w:type="dxa"/>
                  <w:vMerge w:val="continue"/>
                  <w:tcBorders>
                    <w:tl2br w:val="nil"/>
                    <w:tr2bl w:val="nil"/>
                  </w:tcBorders>
                  <w:vAlign w:val="center"/>
                </w:tcPr>
                <w:p w14:paraId="660F5F18">
                  <w:pPr>
                    <w:pStyle w:val="33"/>
                    <w:rPr>
                      <w:color w:val="auto"/>
                    </w:rPr>
                  </w:pPr>
                </w:p>
              </w:tc>
              <w:tc>
                <w:tcPr>
                  <w:tcW w:w="900" w:type="dxa"/>
                  <w:vMerge w:val="continue"/>
                  <w:tcBorders>
                    <w:tl2br w:val="nil"/>
                    <w:tr2bl w:val="nil"/>
                  </w:tcBorders>
                  <w:vAlign w:val="center"/>
                </w:tcPr>
                <w:p w14:paraId="76BFF88D">
                  <w:pPr>
                    <w:pStyle w:val="33"/>
                    <w:rPr>
                      <w:color w:val="auto"/>
                    </w:rPr>
                  </w:pPr>
                </w:p>
              </w:tc>
              <w:tc>
                <w:tcPr>
                  <w:tcW w:w="1118" w:type="dxa"/>
                  <w:tcBorders>
                    <w:tl2br w:val="nil"/>
                    <w:tr2bl w:val="nil"/>
                  </w:tcBorders>
                  <w:vAlign w:val="center"/>
                </w:tcPr>
                <w:p w14:paraId="3DAF3B73">
                  <w:pPr>
                    <w:pStyle w:val="33"/>
                    <w:rPr>
                      <w:color w:val="auto"/>
                    </w:rPr>
                  </w:pPr>
                  <w:r>
                    <w:rPr>
                      <w:color w:val="auto"/>
                    </w:rPr>
                    <w:t>NH</w:t>
                  </w:r>
                  <w:r>
                    <w:rPr>
                      <w:rFonts w:hint="eastAsia"/>
                      <w:color w:val="auto"/>
                      <w:vertAlign w:val="subscript"/>
                    </w:rPr>
                    <w:t>3</w:t>
                  </w:r>
                  <w:r>
                    <w:rPr>
                      <w:color w:val="auto"/>
                    </w:rPr>
                    <w:t>-N</w:t>
                  </w:r>
                </w:p>
              </w:tc>
              <w:tc>
                <w:tcPr>
                  <w:tcW w:w="887" w:type="dxa"/>
                  <w:tcBorders>
                    <w:tl2br w:val="nil"/>
                    <w:tr2bl w:val="nil"/>
                  </w:tcBorders>
                  <w:vAlign w:val="center"/>
                </w:tcPr>
                <w:p w14:paraId="068878EE">
                  <w:pPr>
                    <w:pStyle w:val="33"/>
                    <w:rPr>
                      <w:rFonts w:hint="default" w:eastAsia="宋体"/>
                      <w:color w:val="auto"/>
                      <w:lang w:val="en-US" w:eastAsia="zh-CN"/>
                    </w:rPr>
                  </w:pPr>
                  <w:r>
                    <w:rPr>
                      <w:rFonts w:hint="eastAsia"/>
                      <w:color w:val="auto"/>
                      <w:lang w:val="en-US" w:eastAsia="zh-CN"/>
                    </w:rPr>
                    <w:t>54.81</w:t>
                  </w:r>
                </w:p>
              </w:tc>
              <w:tc>
                <w:tcPr>
                  <w:tcW w:w="816" w:type="dxa"/>
                  <w:tcBorders>
                    <w:tl2br w:val="nil"/>
                    <w:tr2bl w:val="nil"/>
                  </w:tcBorders>
                  <w:vAlign w:val="center"/>
                </w:tcPr>
                <w:p w14:paraId="3C94073F">
                  <w:pPr>
                    <w:pStyle w:val="33"/>
                    <w:rPr>
                      <w:rFonts w:hint="default" w:eastAsia="宋体"/>
                      <w:color w:val="auto"/>
                      <w:lang w:val="en-US" w:eastAsia="zh-CN"/>
                    </w:rPr>
                  </w:pPr>
                  <w:r>
                    <w:rPr>
                      <w:rFonts w:hint="eastAsia"/>
                      <w:color w:val="auto"/>
                      <w:lang w:val="en-US" w:eastAsia="zh-CN"/>
                    </w:rPr>
                    <w:t>0.0524</w:t>
                  </w:r>
                </w:p>
              </w:tc>
              <w:tc>
                <w:tcPr>
                  <w:tcW w:w="588" w:type="dxa"/>
                  <w:vMerge w:val="continue"/>
                  <w:tcBorders>
                    <w:tl2br w:val="nil"/>
                    <w:tr2bl w:val="nil"/>
                  </w:tcBorders>
                  <w:vAlign w:val="center"/>
                </w:tcPr>
                <w:p w14:paraId="15E6CBFD">
                  <w:pPr>
                    <w:pStyle w:val="33"/>
                    <w:rPr>
                      <w:color w:val="auto"/>
                    </w:rPr>
                  </w:pPr>
                </w:p>
              </w:tc>
              <w:tc>
                <w:tcPr>
                  <w:tcW w:w="564" w:type="dxa"/>
                  <w:tcBorders>
                    <w:tl2br w:val="nil"/>
                    <w:tr2bl w:val="nil"/>
                  </w:tcBorders>
                  <w:shd w:val="clear" w:color="auto" w:fill="auto"/>
                  <w:vAlign w:val="center"/>
                </w:tcPr>
                <w:p w14:paraId="522C630E">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45</w:t>
                  </w:r>
                </w:p>
              </w:tc>
              <w:tc>
                <w:tcPr>
                  <w:tcW w:w="866" w:type="dxa"/>
                  <w:tcBorders>
                    <w:tl2br w:val="nil"/>
                    <w:tr2bl w:val="nil"/>
                  </w:tcBorders>
                  <w:shd w:val="clear" w:color="auto" w:fill="auto"/>
                  <w:vAlign w:val="center"/>
                </w:tcPr>
                <w:p w14:paraId="0BE0E821">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30.15</w:t>
                  </w:r>
                </w:p>
              </w:tc>
              <w:tc>
                <w:tcPr>
                  <w:tcW w:w="834" w:type="dxa"/>
                  <w:tcBorders>
                    <w:tl2br w:val="nil"/>
                    <w:tr2bl w:val="nil"/>
                  </w:tcBorders>
                  <w:shd w:val="clear" w:color="auto" w:fill="auto"/>
                  <w:vAlign w:val="center"/>
                </w:tcPr>
                <w:p w14:paraId="4E35FDDF">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0.0288</w:t>
                  </w:r>
                </w:p>
              </w:tc>
              <w:tc>
                <w:tcPr>
                  <w:tcW w:w="902" w:type="dxa"/>
                  <w:vMerge w:val="continue"/>
                  <w:tcBorders>
                    <w:tl2br w:val="nil"/>
                    <w:tr2bl w:val="nil"/>
                  </w:tcBorders>
                  <w:vAlign w:val="center"/>
                </w:tcPr>
                <w:p w14:paraId="08594395">
                  <w:pPr>
                    <w:pStyle w:val="33"/>
                    <w:rPr>
                      <w:color w:val="auto"/>
                    </w:rPr>
                  </w:pPr>
                </w:p>
              </w:tc>
            </w:tr>
            <w:tr w14:paraId="317846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41" w:type="dxa"/>
                  <w:vMerge w:val="continue"/>
                  <w:tcBorders>
                    <w:tl2br w:val="nil"/>
                    <w:tr2bl w:val="nil"/>
                  </w:tcBorders>
                  <w:vAlign w:val="center"/>
                </w:tcPr>
                <w:p w14:paraId="1E1D7355">
                  <w:pPr>
                    <w:pStyle w:val="33"/>
                    <w:rPr>
                      <w:color w:val="auto"/>
                    </w:rPr>
                  </w:pPr>
                </w:p>
              </w:tc>
              <w:tc>
                <w:tcPr>
                  <w:tcW w:w="900" w:type="dxa"/>
                  <w:vMerge w:val="continue"/>
                  <w:tcBorders>
                    <w:tl2br w:val="nil"/>
                    <w:tr2bl w:val="nil"/>
                  </w:tcBorders>
                  <w:vAlign w:val="center"/>
                </w:tcPr>
                <w:p w14:paraId="6ADE4BA8">
                  <w:pPr>
                    <w:pStyle w:val="33"/>
                    <w:rPr>
                      <w:color w:val="auto"/>
                    </w:rPr>
                  </w:pPr>
                </w:p>
              </w:tc>
              <w:tc>
                <w:tcPr>
                  <w:tcW w:w="1118" w:type="dxa"/>
                  <w:tcBorders>
                    <w:tl2br w:val="nil"/>
                    <w:tr2bl w:val="nil"/>
                  </w:tcBorders>
                  <w:vAlign w:val="center"/>
                </w:tcPr>
                <w:p w14:paraId="6D096CAE">
                  <w:pPr>
                    <w:pStyle w:val="33"/>
                    <w:rPr>
                      <w:color w:val="auto"/>
                    </w:rPr>
                  </w:pPr>
                  <w:r>
                    <w:rPr>
                      <w:rFonts w:hint="eastAsia"/>
                      <w:color w:val="auto"/>
                    </w:rPr>
                    <w:t>TN</w:t>
                  </w:r>
                </w:p>
              </w:tc>
              <w:tc>
                <w:tcPr>
                  <w:tcW w:w="887" w:type="dxa"/>
                  <w:tcBorders>
                    <w:tl2br w:val="nil"/>
                    <w:tr2bl w:val="nil"/>
                  </w:tcBorders>
                  <w:vAlign w:val="center"/>
                </w:tcPr>
                <w:p w14:paraId="1D9B4AC5">
                  <w:pPr>
                    <w:pStyle w:val="33"/>
                    <w:rPr>
                      <w:rFonts w:hint="default" w:eastAsia="宋体"/>
                      <w:color w:val="auto"/>
                      <w:lang w:val="en-US" w:eastAsia="zh-CN"/>
                    </w:rPr>
                  </w:pPr>
                  <w:r>
                    <w:rPr>
                      <w:rFonts w:hint="eastAsia"/>
                      <w:color w:val="auto"/>
                      <w:lang w:val="en-US" w:eastAsia="zh-CN"/>
                    </w:rPr>
                    <w:t>152.30</w:t>
                  </w:r>
                </w:p>
              </w:tc>
              <w:tc>
                <w:tcPr>
                  <w:tcW w:w="816" w:type="dxa"/>
                  <w:tcBorders>
                    <w:tl2br w:val="nil"/>
                    <w:tr2bl w:val="nil"/>
                  </w:tcBorders>
                  <w:vAlign w:val="center"/>
                </w:tcPr>
                <w:p w14:paraId="69902F45">
                  <w:pPr>
                    <w:pStyle w:val="33"/>
                    <w:rPr>
                      <w:rFonts w:hint="default" w:eastAsia="宋体"/>
                      <w:color w:val="auto"/>
                      <w:lang w:val="en-US" w:eastAsia="zh-CN"/>
                    </w:rPr>
                  </w:pPr>
                  <w:r>
                    <w:rPr>
                      <w:rFonts w:hint="eastAsia"/>
                      <w:color w:val="auto"/>
                      <w:lang w:val="en-US" w:eastAsia="zh-CN"/>
                    </w:rPr>
                    <w:t>0.1456</w:t>
                  </w:r>
                </w:p>
              </w:tc>
              <w:tc>
                <w:tcPr>
                  <w:tcW w:w="588" w:type="dxa"/>
                  <w:vMerge w:val="continue"/>
                  <w:tcBorders>
                    <w:tl2br w:val="nil"/>
                    <w:tr2bl w:val="nil"/>
                  </w:tcBorders>
                  <w:vAlign w:val="center"/>
                </w:tcPr>
                <w:p w14:paraId="5B7263C0">
                  <w:pPr>
                    <w:pStyle w:val="33"/>
                    <w:rPr>
                      <w:color w:val="auto"/>
                    </w:rPr>
                  </w:pPr>
                </w:p>
              </w:tc>
              <w:tc>
                <w:tcPr>
                  <w:tcW w:w="564" w:type="dxa"/>
                  <w:tcBorders>
                    <w:tl2br w:val="nil"/>
                    <w:tr2bl w:val="nil"/>
                  </w:tcBorders>
                  <w:shd w:val="clear" w:color="auto" w:fill="auto"/>
                  <w:vAlign w:val="center"/>
                </w:tcPr>
                <w:p w14:paraId="4E6995FD">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54</w:t>
                  </w:r>
                </w:p>
              </w:tc>
              <w:tc>
                <w:tcPr>
                  <w:tcW w:w="866" w:type="dxa"/>
                  <w:tcBorders>
                    <w:tl2br w:val="nil"/>
                    <w:tr2bl w:val="nil"/>
                  </w:tcBorders>
                  <w:shd w:val="clear" w:color="auto" w:fill="auto"/>
                  <w:vAlign w:val="center"/>
                </w:tcPr>
                <w:p w14:paraId="43ABF190">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70.06</w:t>
                  </w:r>
                </w:p>
              </w:tc>
              <w:tc>
                <w:tcPr>
                  <w:tcW w:w="834" w:type="dxa"/>
                  <w:tcBorders>
                    <w:tl2br w:val="nil"/>
                    <w:tr2bl w:val="nil"/>
                  </w:tcBorders>
                  <w:shd w:val="clear" w:color="auto" w:fill="auto"/>
                  <w:vAlign w:val="center"/>
                </w:tcPr>
                <w:p w14:paraId="365EF54F">
                  <w:pPr>
                    <w:pStyle w:val="33"/>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0.067</w:t>
                  </w:r>
                </w:p>
              </w:tc>
              <w:tc>
                <w:tcPr>
                  <w:tcW w:w="902" w:type="dxa"/>
                  <w:vMerge w:val="continue"/>
                  <w:tcBorders>
                    <w:tl2br w:val="nil"/>
                    <w:tr2bl w:val="nil"/>
                  </w:tcBorders>
                  <w:vAlign w:val="center"/>
                </w:tcPr>
                <w:p w14:paraId="73F5A2ED">
                  <w:pPr>
                    <w:pStyle w:val="33"/>
                    <w:rPr>
                      <w:color w:val="auto"/>
                    </w:rPr>
                  </w:pPr>
                </w:p>
              </w:tc>
            </w:tr>
            <w:tr w14:paraId="7DFE98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41" w:type="dxa"/>
                  <w:vMerge w:val="continue"/>
                  <w:tcBorders>
                    <w:tl2br w:val="nil"/>
                    <w:tr2bl w:val="nil"/>
                  </w:tcBorders>
                  <w:vAlign w:val="center"/>
                </w:tcPr>
                <w:p w14:paraId="6E232B9E">
                  <w:pPr>
                    <w:pStyle w:val="33"/>
                    <w:rPr>
                      <w:color w:val="auto"/>
                    </w:rPr>
                  </w:pPr>
                </w:p>
              </w:tc>
              <w:tc>
                <w:tcPr>
                  <w:tcW w:w="900" w:type="dxa"/>
                  <w:vMerge w:val="continue"/>
                  <w:tcBorders>
                    <w:tl2br w:val="nil"/>
                    <w:tr2bl w:val="nil"/>
                  </w:tcBorders>
                  <w:vAlign w:val="center"/>
                </w:tcPr>
                <w:p w14:paraId="564D4BA0">
                  <w:pPr>
                    <w:pStyle w:val="33"/>
                    <w:rPr>
                      <w:color w:val="auto"/>
                    </w:rPr>
                  </w:pPr>
                </w:p>
              </w:tc>
              <w:tc>
                <w:tcPr>
                  <w:tcW w:w="1118" w:type="dxa"/>
                  <w:tcBorders>
                    <w:tl2br w:val="nil"/>
                    <w:tr2bl w:val="nil"/>
                  </w:tcBorders>
                  <w:vAlign w:val="center"/>
                </w:tcPr>
                <w:p w14:paraId="6E5B2372">
                  <w:pPr>
                    <w:pStyle w:val="33"/>
                    <w:rPr>
                      <w:color w:val="auto"/>
                    </w:rPr>
                  </w:pPr>
                  <w:r>
                    <w:rPr>
                      <w:rFonts w:hint="eastAsia"/>
                      <w:color w:val="auto"/>
                    </w:rPr>
                    <w:t>TP</w:t>
                  </w:r>
                </w:p>
              </w:tc>
              <w:tc>
                <w:tcPr>
                  <w:tcW w:w="887" w:type="dxa"/>
                  <w:tcBorders>
                    <w:tl2br w:val="nil"/>
                    <w:tr2bl w:val="nil"/>
                  </w:tcBorders>
                  <w:vAlign w:val="center"/>
                </w:tcPr>
                <w:p w14:paraId="396BC2F4">
                  <w:pPr>
                    <w:pStyle w:val="33"/>
                    <w:rPr>
                      <w:rFonts w:hint="default" w:eastAsia="宋体"/>
                      <w:color w:val="auto"/>
                      <w:lang w:val="en-US" w:eastAsia="zh-CN"/>
                    </w:rPr>
                  </w:pPr>
                  <w:r>
                    <w:rPr>
                      <w:rFonts w:hint="eastAsia"/>
                      <w:color w:val="auto"/>
                      <w:lang w:val="en-US" w:eastAsia="zh-CN"/>
                    </w:rPr>
                    <w:t>12.61</w:t>
                  </w:r>
                </w:p>
              </w:tc>
              <w:tc>
                <w:tcPr>
                  <w:tcW w:w="816" w:type="dxa"/>
                  <w:tcBorders>
                    <w:tl2br w:val="nil"/>
                    <w:tr2bl w:val="nil"/>
                  </w:tcBorders>
                  <w:vAlign w:val="center"/>
                </w:tcPr>
                <w:p w14:paraId="7622CBE6">
                  <w:pPr>
                    <w:pStyle w:val="33"/>
                    <w:rPr>
                      <w:rFonts w:hint="default" w:eastAsia="宋体"/>
                      <w:color w:val="auto"/>
                      <w:lang w:val="en-US" w:eastAsia="zh-CN"/>
                    </w:rPr>
                  </w:pPr>
                  <w:r>
                    <w:rPr>
                      <w:rFonts w:hint="eastAsia"/>
                      <w:color w:val="auto"/>
                      <w:lang w:val="en-US" w:eastAsia="zh-CN"/>
                    </w:rPr>
                    <w:t>0.0121</w:t>
                  </w:r>
                </w:p>
              </w:tc>
              <w:tc>
                <w:tcPr>
                  <w:tcW w:w="588" w:type="dxa"/>
                  <w:vMerge w:val="continue"/>
                  <w:tcBorders>
                    <w:tl2br w:val="nil"/>
                    <w:tr2bl w:val="nil"/>
                  </w:tcBorders>
                  <w:vAlign w:val="center"/>
                </w:tcPr>
                <w:p w14:paraId="2FF53EC7">
                  <w:pPr>
                    <w:pStyle w:val="33"/>
                    <w:rPr>
                      <w:color w:val="auto"/>
                    </w:rPr>
                  </w:pPr>
                </w:p>
              </w:tc>
              <w:tc>
                <w:tcPr>
                  <w:tcW w:w="564" w:type="dxa"/>
                  <w:tcBorders>
                    <w:tl2br w:val="nil"/>
                    <w:tr2bl w:val="nil"/>
                  </w:tcBorders>
                  <w:vAlign w:val="center"/>
                </w:tcPr>
                <w:p w14:paraId="6E761475">
                  <w:pPr>
                    <w:pStyle w:val="33"/>
                    <w:rPr>
                      <w:rFonts w:hint="default" w:eastAsia="宋体"/>
                      <w:color w:val="auto"/>
                      <w:lang w:val="en-US" w:eastAsia="zh-CN"/>
                    </w:rPr>
                  </w:pPr>
                  <w:r>
                    <w:rPr>
                      <w:rFonts w:hint="eastAsia"/>
                      <w:color w:val="auto"/>
                      <w:lang w:val="en-US" w:eastAsia="zh-CN"/>
                    </w:rPr>
                    <w:t>36</w:t>
                  </w:r>
                </w:p>
              </w:tc>
              <w:tc>
                <w:tcPr>
                  <w:tcW w:w="866" w:type="dxa"/>
                  <w:tcBorders>
                    <w:tl2br w:val="nil"/>
                    <w:tr2bl w:val="nil"/>
                  </w:tcBorders>
                  <w:vAlign w:val="center"/>
                </w:tcPr>
                <w:p w14:paraId="42FBC73D">
                  <w:pPr>
                    <w:pStyle w:val="33"/>
                    <w:rPr>
                      <w:rFonts w:hint="default" w:eastAsia="宋体"/>
                      <w:color w:val="auto"/>
                      <w:lang w:val="en-US" w:eastAsia="zh-CN"/>
                    </w:rPr>
                  </w:pPr>
                  <w:r>
                    <w:rPr>
                      <w:rFonts w:hint="eastAsia"/>
                      <w:color w:val="auto"/>
                      <w:lang w:val="en-US" w:eastAsia="zh-CN"/>
                    </w:rPr>
                    <w:t>8.07</w:t>
                  </w:r>
                </w:p>
              </w:tc>
              <w:tc>
                <w:tcPr>
                  <w:tcW w:w="834" w:type="dxa"/>
                  <w:tcBorders>
                    <w:tl2br w:val="nil"/>
                    <w:tr2bl w:val="nil"/>
                  </w:tcBorders>
                  <w:vAlign w:val="center"/>
                </w:tcPr>
                <w:p w14:paraId="50173704">
                  <w:pPr>
                    <w:pStyle w:val="33"/>
                    <w:rPr>
                      <w:rFonts w:hint="default" w:eastAsia="宋体"/>
                      <w:color w:val="auto"/>
                      <w:lang w:val="en-US" w:eastAsia="zh-CN"/>
                    </w:rPr>
                  </w:pPr>
                  <w:r>
                    <w:rPr>
                      <w:rFonts w:hint="eastAsia"/>
                      <w:color w:val="auto"/>
                      <w:lang w:val="en-US" w:eastAsia="zh-CN"/>
                    </w:rPr>
                    <w:t>0.0077</w:t>
                  </w:r>
                </w:p>
              </w:tc>
              <w:tc>
                <w:tcPr>
                  <w:tcW w:w="902" w:type="dxa"/>
                  <w:vMerge w:val="continue"/>
                  <w:tcBorders>
                    <w:tl2br w:val="nil"/>
                    <w:tr2bl w:val="nil"/>
                  </w:tcBorders>
                  <w:vAlign w:val="center"/>
                </w:tcPr>
                <w:p w14:paraId="25A675B6">
                  <w:pPr>
                    <w:pStyle w:val="33"/>
                    <w:rPr>
                      <w:color w:val="auto"/>
                    </w:rPr>
                  </w:pPr>
                </w:p>
              </w:tc>
            </w:tr>
            <w:tr w14:paraId="71FC9A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41" w:type="dxa"/>
                  <w:vMerge w:val="continue"/>
                  <w:tcBorders>
                    <w:tl2br w:val="nil"/>
                    <w:tr2bl w:val="nil"/>
                  </w:tcBorders>
                  <w:vAlign w:val="center"/>
                </w:tcPr>
                <w:p w14:paraId="2B1E77F0">
                  <w:pPr>
                    <w:pStyle w:val="33"/>
                    <w:rPr>
                      <w:color w:val="auto"/>
                    </w:rPr>
                  </w:pPr>
                </w:p>
              </w:tc>
              <w:tc>
                <w:tcPr>
                  <w:tcW w:w="900" w:type="dxa"/>
                  <w:vMerge w:val="continue"/>
                  <w:tcBorders>
                    <w:tl2br w:val="nil"/>
                    <w:tr2bl w:val="nil"/>
                  </w:tcBorders>
                  <w:vAlign w:val="center"/>
                </w:tcPr>
                <w:p w14:paraId="4AEBFF23">
                  <w:pPr>
                    <w:pStyle w:val="33"/>
                    <w:rPr>
                      <w:color w:val="auto"/>
                    </w:rPr>
                  </w:pPr>
                </w:p>
              </w:tc>
              <w:tc>
                <w:tcPr>
                  <w:tcW w:w="1118" w:type="dxa"/>
                  <w:tcBorders>
                    <w:tl2br w:val="nil"/>
                    <w:tr2bl w:val="nil"/>
                  </w:tcBorders>
                  <w:vAlign w:val="center"/>
                </w:tcPr>
                <w:p w14:paraId="5AA7D075">
                  <w:pPr>
                    <w:pStyle w:val="33"/>
                    <w:rPr>
                      <w:color w:val="auto"/>
                    </w:rPr>
                  </w:pPr>
                  <w:r>
                    <w:rPr>
                      <w:rFonts w:hint="eastAsia"/>
                      <w:color w:val="auto"/>
                    </w:rPr>
                    <w:t>动植物油</w:t>
                  </w:r>
                </w:p>
              </w:tc>
              <w:tc>
                <w:tcPr>
                  <w:tcW w:w="887" w:type="dxa"/>
                  <w:tcBorders>
                    <w:tl2br w:val="nil"/>
                    <w:tr2bl w:val="nil"/>
                  </w:tcBorders>
                  <w:vAlign w:val="center"/>
                </w:tcPr>
                <w:p w14:paraId="72F5042C">
                  <w:pPr>
                    <w:pStyle w:val="33"/>
                    <w:rPr>
                      <w:rFonts w:hint="default" w:eastAsia="宋体"/>
                      <w:color w:val="auto"/>
                      <w:lang w:val="en-US" w:eastAsia="zh-CN"/>
                    </w:rPr>
                  </w:pPr>
                  <w:r>
                    <w:rPr>
                      <w:rFonts w:hint="eastAsia"/>
                      <w:color w:val="auto"/>
                      <w:lang w:val="en-US" w:eastAsia="zh-CN"/>
                    </w:rPr>
                    <w:t>10</w:t>
                  </w:r>
                </w:p>
              </w:tc>
              <w:tc>
                <w:tcPr>
                  <w:tcW w:w="816" w:type="dxa"/>
                  <w:tcBorders>
                    <w:tl2br w:val="nil"/>
                    <w:tr2bl w:val="nil"/>
                  </w:tcBorders>
                  <w:vAlign w:val="center"/>
                </w:tcPr>
                <w:p w14:paraId="3CAE0CDD">
                  <w:pPr>
                    <w:pStyle w:val="33"/>
                    <w:rPr>
                      <w:rFonts w:hint="default" w:eastAsia="宋体"/>
                      <w:color w:val="auto"/>
                      <w:lang w:val="en-US" w:eastAsia="zh-CN"/>
                    </w:rPr>
                  </w:pPr>
                  <w:r>
                    <w:rPr>
                      <w:rFonts w:hint="eastAsia"/>
                      <w:color w:val="auto"/>
                      <w:lang w:val="en-US" w:eastAsia="zh-CN"/>
                    </w:rPr>
                    <w:t>0.0096</w:t>
                  </w:r>
                </w:p>
              </w:tc>
              <w:tc>
                <w:tcPr>
                  <w:tcW w:w="588" w:type="dxa"/>
                  <w:vMerge w:val="continue"/>
                  <w:tcBorders>
                    <w:tl2br w:val="nil"/>
                    <w:tr2bl w:val="nil"/>
                  </w:tcBorders>
                  <w:vAlign w:val="center"/>
                </w:tcPr>
                <w:p w14:paraId="7C303DF1">
                  <w:pPr>
                    <w:pStyle w:val="33"/>
                    <w:rPr>
                      <w:color w:val="auto"/>
                    </w:rPr>
                  </w:pPr>
                </w:p>
              </w:tc>
              <w:tc>
                <w:tcPr>
                  <w:tcW w:w="564" w:type="dxa"/>
                  <w:tcBorders>
                    <w:tl2br w:val="nil"/>
                    <w:tr2bl w:val="nil"/>
                  </w:tcBorders>
                  <w:vAlign w:val="center"/>
                </w:tcPr>
                <w:p w14:paraId="61C54793">
                  <w:pPr>
                    <w:pStyle w:val="33"/>
                    <w:rPr>
                      <w:rFonts w:hint="default" w:eastAsia="宋体"/>
                      <w:color w:val="auto"/>
                      <w:lang w:val="en-US" w:eastAsia="zh-CN"/>
                    </w:rPr>
                  </w:pPr>
                  <w:r>
                    <w:rPr>
                      <w:rFonts w:hint="eastAsia"/>
                      <w:color w:val="auto"/>
                      <w:lang w:val="en-US" w:eastAsia="zh-CN"/>
                    </w:rPr>
                    <w:t>80</w:t>
                  </w:r>
                </w:p>
              </w:tc>
              <w:tc>
                <w:tcPr>
                  <w:tcW w:w="866" w:type="dxa"/>
                  <w:tcBorders>
                    <w:tl2br w:val="nil"/>
                    <w:tr2bl w:val="nil"/>
                  </w:tcBorders>
                  <w:vAlign w:val="center"/>
                </w:tcPr>
                <w:p w14:paraId="6857CA83">
                  <w:pPr>
                    <w:pStyle w:val="33"/>
                    <w:rPr>
                      <w:rFonts w:hint="default" w:eastAsia="宋体"/>
                      <w:color w:val="auto"/>
                      <w:lang w:val="en-US" w:eastAsia="zh-CN"/>
                    </w:rPr>
                  </w:pPr>
                  <w:r>
                    <w:rPr>
                      <w:rFonts w:hint="eastAsia"/>
                      <w:color w:val="auto"/>
                      <w:lang w:val="en-US" w:eastAsia="zh-CN"/>
                    </w:rPr>
                    <w:t>2.00</w:t>
                  </w:r>
                </w:p>
              </w:tc>
              <w:tc>
                <w:tcPr>
                  <w:tcW w:w="834" w:type="dxa"/>
                  <w:tcBorders>
                    <w:tl2br w:val="nil"/>
                    <w:tr2bl w:val="nil"/>
                  </w:tcBorders>
                  <w:vAlign w:val="center"/>
                </w:tcPr>
                <w:p w14:paraId="0B00E3F4">
                  <w:pPr>
                    <w:pStyle w:val="33"/>
                    <w:rPr>
                      <w:rFonts w:hint="default" w:eastAsia="宋体"/>
                      <w:color w:val="auto"/>
                      <w:lang w:val="en-US" w:eastAsia="zh-CN"/>
                    </w:rPr>
                  </w:pPr>
                  <w:r>
                    <w:rPr>
                      <w:rFonts w:hint="eastAsia"/>
                      <w:color w:val="auto"/>
                      <w:lang w:val="en-US" w:eastAsia="zh-CN"/>
                    </w:rPr>
                    <w:t>0.0019</w:t>
                  </w:r>
                </w:p>
              </w:tc>
              <w:tc>
                <w:tcPr>
                  <w:tcW w:w="902" w:type="dxa"/>
                  <w:vMerge w:val="continue"/>
                  <w:tcBorders>
                    <w:tl2br w:val="nil"/>
                    <w:tr2bl w:val="nil"/>
                  </w:tcBorders>
                  <w:vAlign w:val="center"/>
                </w:tcPr>
                <w:p w14:paraId="3C35AB62">
                  <w:pPr>
                    <w:pStyle w:val="33"/>
                    <w:rPr>
                      <w:color w:val="auto"/>
                    </w:rPr>
                  </w:pPr>
                </w:p>
              </w:tc>
            </w:tr>
          </w:tbl>
          <w:p w14:paraId="02C8C065">
            <w:pPr>
              <w:ind w:firstLine="482"/>
              <w:rPr>
                <w:color w:val="auto"/>
              </w:rPr>
            </w:pPr>
            <w:r>
              <w:rPr>
                <w:rFonts w:hint="eastAsia"/>
                <w:b/>
                <w:bCs/>
                <w:color w:val="auto"/>
              </w:rPr>
              <w:t>（2）污水处理技术可行性分析</w:t>
            </w:r>
          </w:p>
          <w:p w14:paraId="230C5049">
            <w:pPr>
              <w:ind w:firstLine="480"/>
              <w:rPr>
                <w:color w:val="auto"/>
              </w:rPr>
            </w:pPr>
            <w:r>
              <w:rPr>
                <w:color w:val="auto"/>
              </w:rPr>
              <w:t>本项目生产废水主要包括原料清洗废水、洗瓶废水、设备及容器清洗废水和车间地面清洗废水，产生量约为</w:t>
            </w:r>
            <w:r>
              <w:rPr>
                <w:rFonts w:hint="eastAsia"/>
                <w:color w:val="auto"/>
                <w:lang w:eastAsia="zh-CN"/>
              </w:rPr>
              <w:t>955.972</w:t>
            </w:r>
            <w:r>
              <w:rPr>
                <w:color w:val="auto"/>
              </w:rPr>
              <w:t xml:space="preserve"> m</w:t>
            </w:r>
            <w:r>
              <w:rPr>
                <w:rFonts w:hint="eastAsia"/>
                <w:color w:val="auto"/>
                <w:vertAlign w:val="superscript"/>
                <w:lang w:val="en-US" w:eastAsia="zh-CN"/>
              </w:rPr>
              <w:t>3</w:t>
            </w:r>
            <w:r>
              <w:rPr>
                <w:color w:val="auto"/>
              </w:rPr>
              <w:t>/a，主要污染物为COD</w:t>
            </w:r>
            <w:r>
              <w:rPr>
                <w:rFonts w:hint="eastAsia"/>
                <w:color w:val="auto"/>
                <w:vertAlign w:val="baseline"/>
                <w:lang w:val="en-US" w:eastAsia="zh-CN"/>
              </w:rPr>
              <w:t>cr</w:t>
            </w:r>
            <w:r>
              <w:rPr>
                <w:color w:val="auto"/>
              </w:rPr>
              <w:t>、BOD</w:t>
            </w:r>
            <w:r>
              <w:rPr>
                <w:rFonts w:hint="eastAsia"/>
                <w:color w:val="auto"/>
                <w:vertAlign w:val="subscript"/>
                <w:lang w:val="en-US" w:eastAsia="zh-CN"/>
              </w:rPr>
              <w:t>5</w:t>
            </w:r>
            <w:r>
              <w:rPr>
                <w:color w:val="auto"/>
              </w:rPr>
              <w:t>、SS、NH</w:t>
            </w:r>
            <w:r>
              <w:rPr>
                <w:rFonts w:hint="eastAsia"/>
                <w:color w:val="auto"/>
                <w:vertAlign w:val="subscript"/>
                <w:lang w:val="en-US" w:eastAsia="zh-CN"/>
              </w:rPr>
              <w:t>3</w:t>
            </w:r>
            <w:r>
              <w:rPr>
                <w:color w:val="auto"/>
              </w:rPr>
              <w:t>-N、TN、TP及动植物油等。</w:t>
            </w:r>
          </w:p>
          <w:p w14:paraId="6CCA1D8B">
            <w:pPr>
              <w:ind w:firstLine="480"/>
              <w:rPr>
                <w:color w:val="auto"/>
              </w:rPr>
            </w:pPr>
            <w:r>
              <w:rPr>
                <w:color w:val="auto"/>
              </w:rPr>
              <w:t>项目生产废水采用“隔油沉淀池+A/O一体化污水处理设备”处理。生产废水先进入隔油沉淀池，通过重力分离去除废水中的动植物油、食品残渣及部分悬浮物，再进入A/O一体化污水处理设备进行生化处理。A/O一体化污水处理设备由厌氧池、好氧池、二沉池和清水池组成，通过厌氧、好氧生化处理及泥水分离，进一步降低废水中有机物、氨氮、总氮和总磷等污染物浓度。</w:t>
            </w:r>
          </w:p>
          <w:p w14:paraId="0700F766">
            <w:pPr>
              <w:ind w:firstLine="480"/>
              <w:rPr>
                <w:color w:val="auto"/>
              </w:rPr>
            </w:pPr>
            <w:r>
              <w:rPr>
                <w:color w:val="auto"/>
              </w:rPr>
              <w:t>参照《调味品、发酵制品制造工业污染防治可行技术指南》（HJ 1303—2023）表2所列同类调味品废水间接排放浓度水平，并结合本项目进水水质及工程设计参数，整套污水处理设施对COD</w:t>
            </w:r>
            <w:r>
              <w:rPr>
                <w:color w:val="auto"/>
                <w:vertAlign w:val="subscript"/>
              </w:rPr>
              <w:t>Cr</w:t>
            </w:r>
            <w:r>
              <w:rPr>
                <w:color w:val="auto"/>
              </w:rPr>
              <w:t>、BOD</w:t>
            </w:r>
            <w:r>
              <w:rPr>
                <w:rFonts w:hint="eastAsia"/>
                <w:color w:val="auto"/>
                <w:vertAlign w:val="subscript"/>
                <w:lang w:val="en-US" w:eastAsia="zh-CN"/>
              </w:rPr>
              <w:t>5</w:t>
            </w:r>
            <w:r>
              <w:rPr>
                <w:color w:val="auto"/>
              </w:rPr>
              <w:t>、SS、NH</w:t>
            </w:r>
            <w:r>
              <w:rPr>
                <w:rFonts w:hint="eastAsia"/>
                <w:color w:val="auto"/>
                <w:vertAlign w:val="subscript"/>
                <w:lang w:val="en-US" w:eastAsia="zh-CN"/>
              </w:rPr>
              <w:t>3</w:t>
            </w:r>
            <w:r>
              <w:rPr>
                <w:color w:val="auto"/>
              </w:rPr>
              <w:t>-N、TN和TP的综合处理效率分别按45%、83%、71%、45%、54%和36%计。处理效率计算公式如下：</w:t>
            </w:r>
          </w:p>
          <w:p w14:paraId="69AC151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auto"/>
              </w:rPr>
            </w:pPr>
            <w:r>
              <w:rPr>
                <w:color w:val="auto"/>
              </w:rPr>
              <w:t>η＝（C₀－C₁）/C₀×100%</w:t>
            </w:r>
          </w:p>
          <w:p w14:paraId="438E292A">
            <w:pPr>
              <w:ind w:firstLine="480"/>
              <w:rPr>
                <w:color w:val="auto"/>
              </w:rPr>
            </w:pPr>
            <w:r>
              <w:rPr>
                <w:color w:val="auto"/>
              </w:rPr>
              <w:t>式中：η</w:t>
            </w:r>
            <w:r>
              <w:rPr>
                <w:rFonts w:hint="default" w:ascii="Times New Roman" w:hAnsi="Times New Roman" w:cs="Times New Roman"/>
                <w:color w:val="auto"/>
                <w:lang w:val="en-US" w:eastAsia="zh-CN"/>
              </w:rPr>
              <w:t>——</w:t>
            </w:r>
            <w:r>
              <w:rPr>
                <w:color w:val="auto"/>
              </w:rPr>
              <w:t>污染物处理效率，%；</w:t>
            </w:r>
          </w:p>
          <w:p w14:paraId="13DBE5FA">
            <w:pPr>
              <w:ind w:firstLine="480"/>
              <w:rPr>
                <w:color w:val="auto"/>
              </w:rPr>
            </w:pPr>
            <w:r>
              <w:rPr>
                <w:color w:val="auto"/>
              </w:rPr>
              <w:t>C₀</w:t>
            </w:r>
            <w:r>
              <w:rPr>
                <w:rFonts w:hint="default" w:ascii="Times New Roman" w:hAnsi="Times New Roman" w:cs="Times New Roman"/>
                <w:color w:val="auto"/>
                <w:lang w:eastAsia="zh-CN"/>
              </w:rPr>
              <w:t>——</w:t>
            </w:r>
            <w:r>
              <w:rPr>
                <w:color w:val="auto"/>
              </w:rPr>
              <w:t>处理前污染物浓度，mg/L；</w:t>
            </w:r>
          </w:p>
          <w:p w14:paraId="75FAFE8C">
            <w:pPr>
              <w:ind w:firstLine="480"/>
              <w:rPr>
                <w:color w:val="auto"/>
              </w:rPr>
            </w:pPr>
            <w:r>
              <w:rPr>
                <w:color w:val="auto"/>
              </w:rPr>
              <w:t>C₁</w:t>
            </w:r>
            <w:r>
              <w:rPr>
                <w:rFonts w:hint="default" w:ascii="Times New Roman" w:hAnsi="Times New Roman" w:cs="Times New Roman"/>
                <w:color w:val="auto"/>
                <w:lang w:eastAsia="zh-CN"/>
              </w:rPr>
              <w:t>——</w:t>
            </w:r>
            <w:r>
              <w:rPr>
                <w:color w:val="auto"/>
              </w:rPr>
              <w:t>为处理后污染物浓度，mg/L。</w:t>
            </w:r>
          </w:p>
          <w:p w14:paraId="5FB9C22F">
            <w:pPr>
              <w:ind w:firstLine="480"/>
              <w:rPr>
                <w:color w:val="auto"/>
              </w:rPr>
            </w:pPr>
            <w:r>
              <w:rPr>
                <w:color w:val="auto"/>
              </w:rPr>
              <w:t>经核算，处理后COD</w:t>
            </w:r>
            <w:r>
              <w:rPr>
                <w:color w:val="auto"/>
                <w:vertAlign w:val="subscript"/>
              </w:rPr>
              <w:t>Cr</w:t>
            </w:r>
            <w:r>
              <w:rPr>
                <w:color w:val="auto"/>
              </w:rPr>
              <w:t>、BOD</w:t>
            </w:r>
            <w:r>
              <w:rPr>
                <w:rFonts w:hint="eastAsia"/>
                <w:color w:val="auto"/>
                <w:vertAlign w:val="subscript"/>
                <w:lang w:val="en-US" w:eastAsia="zh-CN"/>
              </w:rPr>
              <w:t>5</w:t>
            </w:r>
            <w:r>
              <w:rPr>
                <w:color w:val="auto"/>
              </w:rPr>
              <w:t>、SS、NH</w:t>
            </w:r>
            <w:r>
              <w:rPr>
                <w:rFonts w:hint="eastAsia"/>
                <w:color w:val="auto"/>
                <w:vertAlign w:val="subscript"/>
                <w:lang w:val="en-US" w:eastAsia="zh-CN"/>
              </w:rPr>
              <w:t>3</w:t>
            </w:r>
            <w:r>
              <w:rPr>
                <w:color w:val="auto"/>
              </w:rPr>
              <w:t>-N、TN和TP浓度分别为299.81 mg/L、51 mg/L、101.5 mg/L、30.15 mg/L、70.09 mg/L和8.07 mg/L。</w:t>
            </w:r>
          </w:p>
          <w:p w14:paraId="622DD20A">
            <w:pPr>
              <w:ind w:firstLine="480"/>
              <w:rPr>
                <w:color w:val="auto"/>
              </w:rPr>
            </w:pPr>
            <w:r>
              <w:rPr>
                <w:color w:val="auto"/>
              </w:rPr>
              <w:t>动植物油处理效率类比《泰兴新味乐食品有限公司年生产复合调味品10000吨、预制食品3500吨项目（一期）环境影响报告表》。该项目参照《水污染控制工程》及工程设计经验，隔油沉淀池对动植物油的去除效率为70%～80%，本项目取80%，处理后动植物油浓度为2 mg/L。</w:t>
            </w:r>
          </w:p>
          <w:p w14:paraId="1290D79C">
            <w:pPr>
              <w:ind w:firstLine="480"/>
              <w:rPr>
                <w:color w:val="auto"/>
              </w:rPr>
            </w:pPr>
            <w:r>
              <w:rPr>
                <w:color w:val="auto"/>
              </w:rPr>
              <w:t>生活污水经三级化粪池预处理。处理后的生产废水和生活污水分别排入园区污水管网，排放水质能够满足《污水综合排放标准》（GB 8978—1996）三级标准及新兴污水处理厂进水水质要求，随后进入新兴污水处理厂进一步处理。项目废水量较小，处理工艺与废水水质特征相适应，处理路线可行。</w:t>
            </w:r>
          </w:p>
          <w:p w14:paraId="674BD651">
            <w:pPr>
              <w:ind w:firstLine="482"/>
              <w:rPr>
                <w:b/>
                <w:bCs/>
                <w:color w:val="auto"/>
              </w:rPr>
            </w:pPr>
            <w:r>
              <w:rPr>
                <w:rFonts w:hint="eastAsia"/>
                <w:b/>
                <w:bCs/>
                <w:color w:val="auto"/>
              </w:rPr>
              <w:t>（3）污水处理厂依托可行性分析</w:t>
            </w:r>
          </w:p>
          <w:p w14:paraId="6369D63D">
            <w:pPr>
              <w:ind w:firstLine="480"/>
              <w:rPr>
                <w:color w:val="auto"/>
              </w:rPr>
            </w:pPr>
            <w:r>
              <w:rPr>
                <w:color w:val="auto"/>
              </w:rPr>
              <w:t>新兴工业园污水处理厂有足够容量接纳本项目排放的废水。新兴工业园污水处理厂采用较为先进的污水处理工艺：改良型氧化沟+紫外线消毒污水处理工艺。新兴工业园污水处理厂主要服务于柳石路市政污水、新兴工业园本部、四方片区以及周边的居民的城市污水。尾水经污水总排口排至</w:t>
            </w:r>
            <w:r>
              <w:rPr>
                <w:rFonts w:hint="eastAsia"/>
                <w:color w:val="auto"/>
              </w:rPr>
              <w:t>响水河</w:t>
            </w:r>
            <w:r>
              <w:rPr>
                <w:color w:val="auto"/>
              </w:rPr>
              <w:t>后排入柳江，按《城镇污水处理厂污染物排放标准》一级排放</w:t>
            </w:r>
            <w:r>
              <w:rPr>
                <w:rFonts w:hint="eastAsia"/>
                <w:color w:val="auto"/>
              </w:rPr>
              <w:t>B</w:t>
            </w:r>
            <w:r>
              <w:rPr>
                <w:color w:val="auto"/>
              </w:rPr>
              <w:t>标准控制。参考《新兴污水处理厂二期工程环境影响评价报告书》，新兴工业园污水处理厂设计进出水质情况见表4-</w:t>
            </w:r>
            <w:r>
              <w:rPr>
                <w:rFonts w:hint="eastAsia"/>
                <w:color w:val="auto"/>
              </w:rPr>
              <w:t>9</w:t>
            </w:r>
            <w:r>
              <w:rPr>
                <w:color w:val="auto"/>
              </w:rPr>
              <w:t>。</w:t>
            </w:r>
          </w:p>
          <w:p w14:paraId="6E4CC2D1">
            <w:pPr>
              <w:pStyle w:val="35"/>
              <w:rPr>
                <w:rFonts w:hint="default"/>
                <w:color w:val="auto"/>
              </w:rPr>
            </w:pPr>
            <w:r>
              <w:rPr>
                <w:color w:val="auto"/>
              </w:rPr>
              <w:t>表4-9 新兴工业园污水处理厂设计进出水质</w:t>
            </w:r>
          </w:p>
          <w:tbl>
            <w:tblPr>
              <w:tblStyle w:val="17"/>
              <w:tblW w:w="801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1335"/>
              <w:gridCol w:w="1335"/>
              <w:gridCol w:w="1335"/>
              <w:gridCol w:w="1336"/>
              <w:gridCol w:w="1336"/>
            </w:tblGrid>
            <w:tr w14:paraId="0B3854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tcBorders>
                    <w:tl2br w:val="nil"/>
                    <w:tr2bl w:val="nil"/>
                  </w:tcBorders>
                  <w:vAlign w:val="center"/>
                </w:tcPr>
                <w:p w14:paraId="11DAB1E8">
                  <w:pPr>
                    <w:pStyle w:val="33"/>
                    <w:rPr>
                      <w:color w:val="auto"/>
                    </w:rPr>
                  </w:pPr>
                  <w:r>
                    <w:rPr>
                      <w:rFonts w:hint="eastAsia"/>
                      <w:color w:val="auto"/>
                    </w:rPr>
                    <w:t>项目</w:t>
                  </w:r>
                </w:p>
              </w:tc>
              <w:tc>
                <w:tcPr>
                  <w:tcW w:w="1335" w:type="dxa"/>
                  <w:tcBorders>
                    <w:tl2br w:val="nil"/>
                    <w:tr2bl w:val="nil"/>
                  </w:tcBorders>
                  <w:vAlign w:val="center"/>
                </w:tcPr>
                <w:p w14:paraId="0DE7CD01">
                  <w:pPr>
                    <w:pStyle w:val="33"/>
                    <w:rPr>
                      <w:color w:val="auto"/>
                    </w:rPr>
                  </w:pPr>
                  <w:r>
                    <w:rPr>
                      <w:rFonts w:hint="eastAsia"/>
                      <w:color w:val="auto"/>
                    </w:rPr>
                    <w:t>CODcr</w:t>
                  </w:r>
                </w:p>
              </w:tc>
              <w:tc>
                <w:tcPr>
                  <w:tcW w:w="1335" w:type="dxa"/>
                  <w:tcBorders>
                    <w:tl2br w:val="nil"/>
                    <w:tr2bl w:val="nil"/>
                  </w:tcBorders>
                  <w:vAlign w:val="center"/>
                </w:tcPr>
                <w:p w14:paraId="10B049ED">
                  <w:pPr>
                    <w:pStyle w:val="33"/>
                    <w:rPr>
                      <w:color w:val="auto"/>
                    </w:rPr>
                  </w:pPr>
                  <w:r>
                    <w:rPr>
                      <w:rFonts w:hint="eastAsia"/>
                      <w:color w:val="auto"/>
                    </w:rPr>
                    <w:t>BOD</w:t>
                  </w:r>
                  <w:r>
                    <w:rPr>
                      <w:rFonts w:hint="eastAsia"/>
                      <w:color w:val="auto"/>
                      <w:vertAlign w:val="subscript"/>
                    </w:rPr>
                    <w:t>5</w:t>
                  </w:r>
                </w:p>
              </w:tc>
              <w:tc>
                <w:tcPr>
                  <w:tcW w:w="1335" w:type="dxa"/>
                  <w:tcBorders>
                    <w:tl2br w:val="nil"/>
                    <w:tr2bl w:val="nil"/>
                  </w:tcBorders>
                  <w:vAlign w:val="center"/>
                </w:tcPr>
                <w:p w14:paraId="5610C32B">
                  <w:pPr>
                    <w:pStyle w:val="33"/>
                    <w:rPr>
                      <w:color w:val="auto"/>
                    </w:rPr>
                  </w:pPr>
                  <w:r>
                    <w:rPr>
                      <w:rFonts w:hint="eastAsia"/>
                      <w:color w:val="auto"/>
                    </w:rPr>
                    <w:t>SS</w:t>
                  </w:r>
                </w:p>
              </w:tc>
              <w:tc>
                <w:tcPr>
                  <w:tcW w:w="1336" w:type="dxa"/>
                  <w:tcBorders>
                    <w:tl2br w:val="nil"/>
                    <w:tr2bl w:val="nil"/>
                  </w:tcBorders>
                  <w:vAlign w:val="center"/>
                </w:tcPr>
                <w:p w14:paraId="5C1C19B1">
                  <w:pPr>
                    <w:pStyle w:val="33"/>
                    <w:rPr>
                      <w:color w:val="auto"/>
                    </w:rPr>
                  </w:pPr>
                  <w:r>
                    <w:rPr>
                      <w:rFonts w:hint="eastAsia"/>
                      <w:color w:val="auto"/>
                    </w:rPr>
                    <w:t>NH</w:t>
                  </w:r>
                  <w:r>
                    <w:rPr>
                      <w:rFonts w:hint="eastAsia"/>
                      <w:color w:val="auto"/>
                      <w:vertAlign w:val="subscript"/>
                    </w:rPr>
                    <w:t>3</w:t>
                  </w:r>
                  <w:r>
                    <w:rPr>
                      <w:rFonts w:hint="eastAsia"/>
                      <w:color w:val="auto"/>
                    </w:rPr>
                    <w:t>-N</w:t>
                  </w:r>
                </w:p>
              </w:tc>
              <w:tc>
                <w:tcPr>
                  <w:tcW w:w="1336" w:type="dxa"/>
                  <w:tcBorders>
                    <w:tl2br w:val="nil"/>
                    <w:tr2bl w:val="nil"/>
                  </w:tcBorders>
                  <w:vAlign w:val="center"/>
                </w:tcPr>
                <w:p w14:paraId="3D1289AC">
                  <w:pPr>
                    <w:pStyle w:val="33"/>
                    <w:rPr>
                      <w:color w:val="auto"/>
                    </w:rPr>
                  </w:pPr>
                  <w:r>
                    <w:rPr>
                      <w:rFonts w:hint="eastAsia"/>
                      <w:color w:val="auto"/>
                    </w:rPr>
                    <w:t>pH</w:t>
                  </w:r>
                </w:p>
              </w:tc>
            </w:tr>
            <w:tr w14:paraId="126EC4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tcBorders>
                    <w:tl2br w:val="nil"/>
                    <w:tr2bl w:val="nil"/>
                  </w:tcBorders>
                  <w:vAlign w:val="center"/>
                </w:tcPr>
                <w:p w14:paraId="0B07702F">
                  <w:pPr>
                    <w:pStyle w:val="33"/>
                    <w:rPr>
                      <w:color w:val="auto"/>
                    </w:rPr>
                  </w:pPr>
                  <w:r>
                    <w:rPr>
                      <w:rFonts w:hint="eastAsia"/>
                      <w:color w:val="auto"/>
                    </w:rPr>
                    <w:t>进水（mg/L）</w:t>
                  </w:r>
                </w:p>
              </w:tc>
              <w:tc>
                <w:tcPr>
                  <w:tcW w:w="1335" w:type="dxa"/>
                  <w:tcBorders>
                    <w:tl2br w:val="nil"/>
                    <w:tr2bl w:val="nil"/>
                  </w:tcBorders>
                  <w:vAlign w:val="center"/>
                </w:tcPr>
                <w:p w14:paraId="37677CDD">
                  <w:pPr>
                    <w:pStyle w:val="33"/>
                    <w:rPr>
                      <w:color w:val="auto"/>
                    </w:rPr>
                  </w:pPr>
                  <w:r>
                    <w:rPr>
                      <w:color w:val="auto"/>
                    </w:rPr>
                    <w:t>≤500</w:t>
                  </w:r>
                </w:p>
              </w:tc>
              <w:tc>
                <w:tcPr>
                  <w:tcW w:w="1335" w:type="dxa"/>
                  <w:tcBorders>
                    <w:tl2br w:val="nil"/>
                    <w:tr2bl w:val="nil"/>
                  </w:tcBorders>
                  <w:vAlign w:val="center"/>
                </w:tcPr>
                <w:p w14:paraId="182DF032">
                  <w:pPr>
                    <w:pStyle w:val="33"/>
                    <w:rPr>
                      <w:color w:val="auto"/>
                    </w:rPr>
                  </w:pPr>
                  <w:r>
                    <w:rPr>
                      <w:color w:val="auto"/>
                    </w:rPr>
                    <w:t>≤300</w:t>
                  </w:r>
                </w:p>
              </w:tc>
              <w:tc>
                <w:tcPr>
                  <w:tcW w:w="1335" w:type="dxa"/>
                  <w:tcBorders>
                    <w:tl2br w:val="nil"/>
                    <w:tr2bl w:val="nil"/>
                  </w:tcBorders>
                  <w:vAlign w:val="center"/>
                </w:tcPr>
                <w:p w14:paraId="356473B3">
                  <w:pPr>
                    <w:pStyle w:val="33"/>
                    <w:rPr>
                      <w:color w:val="auto"/>
                    </w:rPr>
                  </w:pPr>
                  <w:r>
                    <w:rPr>
                      <w:color w:val="auto"/>
                    </w:rPr>
                    <w:t>≤400</w:t>
                  </w:r>
                </w:p>
              </w:tc>
              <w:tc>
                <w:tcPr>
                  <w:tcW w:w="1336" w:type="dxa"/>
                  <w:tcBorders>
                    <w:tl2br w:val="nil"/>
                    <w:tr2bl w:val="nil"/>
                  </w:tcBorders>
                  <w:vAlign w:val="center"/>
                </w:tcPr>
                <w:p w14:paraId="69B76315">
                  <w:pPr>
                    <w:pStyle w:val="33"/>
                    <w:rPr>
                      <w:color w:val="auto"/>
                    </w:rPr>
                  </w:pPr>
                  <w:r>
                    <w:rPr>
                      <w:color w:val="auto"/>
                    </w:rPr>
                    <w:t>≤</w:t>
                  </w:r>
                  <w:r>
                    <w:rPr>
                      <w:rFonts w:hint="eastAsia"/>
                      <w:color w:val="auto"/>
                    </w:rPr>
                    <w:t>35</w:t>
                  </w:r>
                </w:p>
              </w:tc>
              <w:tc>
                <w:tcPr>
                  <w:tcW w:w="1336" w:type="dxa"/>
                  <w:tcBorders>
                    <w:tl2br w:val="nil"/>
                    <w:tr2bl w:val="nil"/>
                  </w:tcBorders>
                  <w:vAlign w:val="center"/>
                </w:tcPr>
                <w:p w14:paraId="3B60FA4A">
                  <w:pPr>
                    <w:pStyle w:val="33"/>
                    <w:rPr>
                      <w:color w:val="auto"/>
                    </w:rPr>
                  </w:pPr>
                  <w:r>
                    <w:rPr>
                      <w:rFonts w:hint="eastAsia"/>
                      <w:color w:val="auto"/>
                    </w:rPr>
                    <w:t>6~9</w:t>
                  </w:r>
                </w:p>
              </w:tc>
            </w:tr>
            <w:tr w14:paraId="2834CD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tcBorders>
                    <w:tl2br w:val="nil"/>
                    <w:tr2bl w:val="nil"/>
                  </w:tcBorders>
                  <w:vAlign w:val="center"/>
                </w:tcPr>
                <w:p w14:paraId="3E7BC184">
                  <w:pPr>
                    <w:pStyle w:val="33"/>
                    <w:rPr>
                      <w:color w:val="auto"/>
                    </w:rPr>
                  </w:pPr>
                  <w:r>
                    <w:rPr>
                      <w:rFonts w:hint="eastAsia"/>
                      <w:color w:val="auto"/>
                    </w:rPr>
                    <w:t>出水（mg/L）</w:t>
                  </w:r>
                </w:p>
              </w:tc>
              <w:tc>
                <w:tcPr>
                  <w:tcW w:w="1335" w:type="dxa"/>
                  <w:tcBorders>
                    <w:tl2br w:val="nil"/>
                    <w:tr2bl w:val="nil"/>
                  </w:tcBorders>
                  <w:vAlign w:val="center"/>
                </w:tcPr>
                <w:p w14:paraId="2CBBC649">
                  <w:pPr>
                    <w:pStyle w:val="33"/>
                    <w:rPr>
                      <w:color w:val="auto"/>
                    </w:rPr>
                  </w:pPr>
                  <w:r>
                    <w:rPr>
                      <w:color w:val="auto"/>
                    </w:rPr>
                    <w:t>≤60</w:t>
                  </w:r>
                </w:p>
              </w:tc>
              <w:tc>
                <w:tcPr>
                  <w:tcW w:w="1335" w:type="dxa"/>
                  <w:tcBorders>
                    <w:tl2br w:val="nil"/>
                    <w:tr2bl w:val="nil"/>
                  </w:tcBorders>
                  <w:vAlign w:val="center"/>
                </w:tcPr>
                <w:p w14:paraId="3AB2B67C">
                  <w:pPr>
                    <w:pStyle w:val="33"/>
                    <w:rPr>
                      <w:color w:val="auto"/>
                    </w:rPr>
                  </w:pPr>
                  <w:r>
                    <w:rPr>
                      <w:color w:val="auto"/>
                    </w:rPr>
                    <w:t>≤20</w:t>
                  </w:r>
                </w:p>
              </w:tc>
              <w:tc>
                <w:tcPr>
                  <w:tcW w:w="1335" w:type="dxa"/>
                  <w:tcBorders>
                    <w:tl2br w:val="nil"/>
                    <w:tr2bl w:val="nil"/>
                  </w:tcBorders>
                  <w:vAlign w:val="center"/>
                </w:tcPr>
                <w:p w14:paraId="750F9653">
                  <w:pPr>
                    <w:pStyle w:val="33"/>
                    <w:rPr>
                      <w:color w:val="auto"/>
                    </w:rPr>
                  </w:pPr>
                  <w:r>
                    <w:rPr>
                      <w:color w:val="auto"/>
                    </w:rPr>
                    <w:t>≤20</w:t>
                  </w:r>
                </w:p>
              </w:tc>
              <w:tc>
                <w:tcPr>
                  <w:tcW w:w="1336" w:type="dxa"/>
                  <w:tcBorders>
                    <w:tl2br w:val="nil"/>
                    <w:tr2bl w:val="nil"/>
                  </w:tcBorders>
                  <w:vAlign w:val="center"/>
                </w:tcPr>
                <w:p w14:paraId="7206E1D7">
                  <w:pPr>
                    <w:pStyle w:val="33"/>
                    <w:rPr>
                      <w:color w:val="auto"/>
                    </w:rPr>
                  </w:pPr>
                  <w:r>
                    <w:rPr>
                      <w:color w:val="auto"/>
                    </w:rPr>
                    <w:t>≤</w:t>
                  </w:r>
                  <w:r>
                    <w:rPr>
                      <w:rFonts w:hint="eastAsia"/>
                      <w:color w:val="auto"/>
                    </w:rPr>
                    <w:t>8</w:t>
                  </w:r>
                </w:p>
              </w:tc>
              <w:tc>
                <w:tcPr>
                  <w:tcW w:w="1336" w:type="dxa"/>
                  <w:tcBorders>
                    <w:tl2br w:val="nil"/>
                    <w:tr2bl w:val="nil"/>
                  </w:tcBorders>
                  <w:vAlign w:val="center"/>
                </w:tcPr>
                <w:p w14:paraId="0D12E055">
                  <w:pPr>
                    <w:pStyle w:val="33"/>
                    <w:rPr>
                      <w:color w:val="auto"/>
                    </w:rPr>
                  </w:pPr>
                  <w:r>
                    <w:rPr>
                      <w:color w:val="auto"/>
                    </w:rPr>
                    <w:t>6~9</w:t>
                  </w:r>
                </w:p>
              </w:tc>
            </w:tr>
          </w:tbl>
          <w:p w14:paraId="0CC28964">
            <w:pPr>
              <w:ind w:firstLine="480"/>
              <w:rPr>
                <w:color w:val="auto"/>
              </w:rPr>
            </w:pPr>
            <w:r>
              <w:rPr>
                <w:color w:val="auto"/>
              </w:rPr>
              <w:t>本项目外排废水依托柳江区新兴工业园污水处理厂进行处理。项目运营期外排废水主要包括</w:t>
            </w:r>
            <w:r>
              <w:rPr>
                <w:rFonts w:hint="eastAsia"/>
                <w:color w:val="auto"/>
                <w:lang w:eastAsia="zh-CN"/>
              </w:rPr>
              <w:t>经厂区自建污水处理设施“隔油沉淀+一体化A/O工艺”</w:t>
            </w:r>
            <w:r>
              <w:rPr>
                <w:color w:val="auto"/>
              </w:rPr>
              <w:t>处理后的生产废水和经化粪池预处理后的生活污水。根据项目水平衡，生产废水</w:t>
            </w:r>
            <w:r>
              <w:rPr>
                <w:rFonts w:hint="eastAsia"/>
                <w:color w:val="auto"/>
                <w:lang w:eastAsia="zh-CN"/>
              </w:rPr>
              <w:t>经厂区自建污水处理设施“隔油沉淀+一体化A/O工艺”</w:t>
            </w:r>
            <w:r>
              <w:rPr>
                <w:color w:val="auto"/>
              </w:rPr>
              <w:t>处理后的排放量为</w:t>
            </w:r>
            <w:r>
              <w:rPr>
                <w:rFonts w:hint="eastAsia"/>
                <w:color w:val="auto"/>
                <w:lang w:eastAsia="zh-CN"/>
              </w:rPr>
              <w:t>955.972</w:t>
            </w:r>
            <w:r>
              <w:rPr>
                <w:color w:val="auto"/>
              </w:rPr>
              <w:t>m</w:t>
            </w:r>
            <w:r>
              <w:rPr>
                <w:rFonts w:hint="eastAsia"/>
                <w:color w:val="auto"/>
                <w:vertAlign w:val="superscript"/>
              </w:rPr>
              <w:t>3</w:t>
            </w:r>
            <w:r>
              <w:rPr>
                <w:color w:val="auto"/>
              </w:rPr>
              <w:t>/a，生活污水经化粪池预处理后的排放量为</w:t>
            </w:r>
            <w:r>
              <w:rPr>
                <w:rFonts w:hint="eastAsia"/>
                <w:color w:val="auto"/>
              </w:rPr>
              <w:t>382.8</w:t>
            </w:r>
            <w:r>
              <w:rPr>
                <w:color w:val="auto"/>
              </w:rPr>
              <w:t>m</w:t>
            </w:r>
            <w:r>
              <w:rPr>
                <w:rFonts w:hint="eastAsia"/>
                <w:color w:val="auto"/>
                <w:vertAlign w:val="superscript"/>
              </w:rPr>
              <w:t>3</w:t>
            </w:r>
            <w:r>
              <w:rPr>
                <w:color w:val="auto"/>
              </w:rPr>
              <w:t>/a，则项目外排入园区污水管网的废水总量为</w:t>
            </w:r>
            <w:r>
              <w:rPr>
                <w:rFonts w:hint="eastAsia"/>
                <w:color w:val="auto"/>
                <w:lang w:eastAsia="zh-CN"/>
              </w:rPr>
              <w:t>1338.772</w:t>
            </w:r>
            <w:r>
              <w:rPr>
                <w:color w:val="auto"/>
              </w:rPr>
              <w:t>m</w:t>
            </w:r>
            <w:r>
              <w:rPr>
                <w:rFonts w:hint="eastAsia"/>
                <w:color w:val="auto"/>
                <w:vertAlign w:val="superscript"/>
              </w:rPr>
              <w:t>3</w:t>
            </w:r>
            <w:r>
              <w:rPr>
                <w:color w:val="auto"/>
              </w:rPr>
              <w:t>/a，折合约</w:t>
            </w:r>
            <w:r>
              <w:rPr>
                <w:rFonts w:hint="eastAsia"/>
                <w:color w:val="auto"/>
                <w:lang w:eastAsia="zh-CN"/>
              </w:rPr>
              <w:t>4.6</w:t>
            </w:r>
            <w:r>
              <w:rPr>
                <w:rFonts w:hint="eastAsia"/>
                <w:color w:val="auto"/>
                <w:lang w:val="en-US" w:eastAsia="zh-CN"/>
              </w:rPr>
              <w:t>084</w:t>
            </w:r>
            <w:r>
              <w:rPr>
                <w:color w:val="auto"/>
              </w:rPr>
              <w:t>m</w:t>
            </w:r>
            <w:r>
              <w:rPr>
                <w:rFonts w:hint="eastAsia"/>
                <w:color w:val="auto"/>
                <w:vertAlign w:val="superscript"/>
              </w:rPr>
              <w:t>3</w:t>
            </w:r>
            <w:r>
              <w:rPr>
                <w:color w:val="auto"/>
              </w:rPr>
              <w:t>/d。</w:t>
            </w:r>
          </w:p>
          <w:p w14:paraId="1E1D6F43">
            <w:pPr>
              <w:ind w:firstLine="480"/>
              <w:rPr>
                <w:color w:val="auto"/>
              </w:rPr>
            </w:pPr>
            <w:r>
              <w:rPr>
                <w:color w:val="auto"/>
              </w:rPr>
              <w:t>根据公开资料，柳江区新兴工业园污水处理厂具备接纳园区废水的处理能力。新兴工业园污水处理厂现状运行处理能力按</w:t>
            </w:r>
            <w:r>
              <w:rPr>
                <w:rFonts w:hint="eastAsia"/>
                <w:color w:val="auto"/>
              </w:rPr>
              <w:t>30000</w:t>
            </w:r>
            <w:r>
              <w:rPr>
                <w:color w:val="auto"/>
              </w:rPr>
              <w:t>m</w:t>
            </w:r>
            <w:r>
              <w:rPr>
                <w:rFonts w:hint="eastAsia"/>
                <w:color w:val="auto"/>
                <w:vertAlign w:val="superscript"/>
              </w:rPr>
              <w:t>3</w:t>
            </w:r>
            <w:r>
              <w:rPr>
                <w:color w:val="auto"/>
              </w:rPr>
              <w:t>/d计，现状实际日处理污水量约为</w:t>
            </w:r>
            <w:r>
              <w:rPr>
                <w:rFonts w:hint="eastAsia"/>
                <w:color w:val="auto"/>
              </w:rPr>
              <w:t>23</w:t>
            </w:r>
            <w:r>
              <w:rPr>
                <w:color w:val="auto"/>
              </w:rPr>
              <w:t>500m</w:t>
            </w:r>
            <w:r>
              <w:rPr>
                <w:rFonts w:hint="eastAsia"/>
                <w:color w:val="auto"/>
                <w:vertAlign w:val="superscript"/>
              </w:rPr>
              <w:t>3</w:t>
            </w:r>
            <w:r>
              <w:rPr>
                <w:color w:val="auto"/>
              </w:rPr>
              <w:t>/d，现状运行负荷率约为</w:t>
            </w:r>
            <w:r>
              <w:rPr>
                <w:rFonts w:hint="eastAsia"/>
                <w:color w:val="auto"/>
              </w:rPr>
              <w:t>78.33</w:t>
            </w:r>
            <w:r>
              <w:rPr>
                <w:color w:val="auto"/>
              </w:rPr>
              <w:t>%，剩余处理能力约为6500m</w:t>
            </w:r>
            <w:r>
              <w:rPr>
                <w:rFonts w:hint="eastAsia"/>
                <w:color w:val="auto"/>
                <w:vertAlign w:val="superscript"/>
              </w:rPr>
              <w:t>3</w:t>
            </w:r>
            <w:r>
              <w:rPr>
                <w:color w:val="auto"/>
              </w:rPr>
              <w:t>/d。本项目废水量较小</w:t>
            </w:r>
            <w:r>
              <w:rPr>
                <w:rFonts w:hint="eastAsia"/>
                <w:color w:val="auto"/>
              </w:rPr>
              <w:t>，占新兴工业园污水处理厂现状剩余处理能力的约0.0</w:t>
            </w:r>
            <w:r>
              <w:rPr>
                <w:rFonts w:hint="eastAsia"/>
                <w:color w:val="auto"/>
                <w:lang w:val="en-US" w:eastAsia="zh-CN"/>
              </w:rPr>
              <w:t>71</w:t>
            </w:r>
            <w:r>
              <w:rPr>
                <w:rFonts w:hint="eastAsia"/>
                <w:color w:val="auto"/>
              </w:rPr>
              <w:t>%。</w:t>
            </w:r>
            <w:r>
              <w:rPr>
                <w:color w:val="auto"/>
              </w:rPr>
              <w:t>项目废水</w:t>
            </w:r>
            <w:r>
              <w:rPr>
                <w:rFonts w:hint="eastAsia"/>
                <w:color w:val="auto"/>
                <w:lang w:eastAsia="zh-CN"/>
              </w:rPr>
              <w:t>经厂区自建污水处理设施“隔油沉淀+一体化A/O工艺”</w:t>
            </w:r>
            <w:r>
              <w:rPr>
                <w:color w:val="auto"/>
              </w:rPr>
              <w:t>预处理达到《污水综合排放标准》（GB8978-1996）三级标准及柳江区新兴工业园污水处理厂接管要求后排入园区污水管网，进入柳江区新兴工业园污水处理厂进一步处理。从水量及水质角度分析，项目废水依托柳江区新兴工业园污水处理厂处理具有可行性。</w:t>
            </w:r>
          </w:p>
          <w:p w14:paraId="6A421E13">
            <w:pPr>
              <w:ind w:firstLine="482"/>
              <w:rPr>
                <w:color w:val="auto"/>
              </w:rPr>
            </w:pPr>
            <w:r>
              <w:rPr>
                <w:rFonts w:hint="eastAsia"/>
                <w:b/>
                <w:bCs/>
                <w:color w:val="auto"/>
              </w:rPr>
              <w:t>3、运营期噪声环境影响和保护措施</w:t>
            </w:r>
          </w:p>
          <w:p w14:paraId="0588BCB6">
            <w:pPr>
              <w:ind w:firstLine="480"/>
              <w:rPr>
                <w:color w:val="auto"/>
              </w:rPr>
            </w:pPr>
            <w:r>
              <w:rPr>
                <w:rFonts w:hint="eastAsia"/>
                <w:color w:val="auto"/>
              </w:rPr>
              <w:t>（1）噪声源强分析</w:t>
            </w:r>
          </w:p>
          <w:p w14:paraId="69BC449E">
            <w:pPr>
              <w:ind w:firstLine="480"/>
              <w:rPr>
                <w:color w:val="auto"/>
              </w:rPr>
            </w:pPr>
            <w:r>
              <w:rPr>
                <w:rFonts w:hint="eastAsia"/>
                <w:color w:val="auto"/>
              </w:rPr>
              <w:t>本项目运营期噪声主要来源于原料预处理、粉碎、调配混合、制粒干燥、灌装包装以及废气处理等设备运行产生的机械噪声，主要噪声设备包括洗姜机、斩拌机、粉碎机、立式高速混合机、制粒机、烘干机、全自动包装机、灌装机、瓶盖机、冲瓶机、泵及风机等。项目生产设备主要布置于厂房内，设备噪声源强参考</w:t>
            </w:r>
            <w:r>
              <w:rPr>
                <w:rFonts w:hint="eastAsia"/>
                <w:color w:val="auto"/>
              </w:rPr>
              <w:t>《巨余生物技术（广州）有限公司年产压片糖果1000万片、复合蛋白饮料50万支、植物饮料50万支、固体饮料50万条生产线项目环境影响报告表》食品加工机械设备噪声水平，一般约为65～85dB（A）。主要设备情况与现有设备布局相符。</w:t>
            </w:r>
          </w:p>
          <w:p w14:paraId="76A14B92">
            <w:pPr>
              <w:ind w:firstLine="0" w:firstLineChars="0"/>
              <w:jc w:val="center"/>
              <w:rPr>
                <w:i/>
                <w:iCs/>
                <w:color w:val="auto"/>
              </w:rPr>
            </w:pPr>
            <w:r>
              <w:rPr>
                <w:rFonts w:hint="eastAsia"/>
                <w:i/>
                <w:iCs/>
                <w:color w:val="auto"/>
              </w:rPr>
              <w:t>L=L</w:t>
            </w:r>
            <w:r>
              <w:rPr>
                <w:rFonts w:hint="eastAsia"/>
                <w:i/>
                <w:iCs/>
                <w:color w:val="auto"/>
                <w:vertAlign w:val="subscript"/>
              </w:rPr>
              <w:t>0</w:t>
            </w:r>
            <w:r>
              <w:rPr>
                <w:rFonts w:hint="eastAsia"/>
                <w:i/>
                <w:iCs/>
                <w:color w:val="auto"/>
              </w:rPr>
              <w:t>+10lgn</w:t>
            </w:r>
          </w:p>
          <w:p w14:paraId="24DD08A4">
            <w:pPr>
              <w:ind w:firstLine="480"/>
              <w:rPr>
                <w:color w:val="auto"/>
              </w:rPr>
            </w:pPr>
            <w:r>
              <w:rPr>
                <w:rFonts w:hint="eastAsia"/>
                <w:color w:val="auto"/>
              </w:rPr>
              <w:t>式中：</w:t>
            </w:r>
          </w:p>
          <w:p w14:paraId="4EA144EF">
            <w:pPr>
              <w:ind w:firstLine="480"/>
              <w:rPr>
                <w:color w:val="auto"/>
              </w:rPr>
            </w:pPr>
            <w:r>
              <w:rPr>
                <w:i/>
                <w:iCs/>
                <w:color w:val="auto"/>
              </w:rPr>
              <w:t>L</w:t>
            </w:r>
            <w:r>
              <w:rPr>
                <w:rFonts w:hint="eastAsia"/>
                <w:i/>
                <w:iCs/>
                <w:color w:val="auto"/>
              </w:rPr>
              <w:t>——</w:t>
            </w:r>
            <w:r>
              <w:rPr>
                <w:rFonts w:hint="eastAsia"/>
                <w:color w:val="auto"/>
              </w:rPr>
              <w:t>多台设备叠加后声级，dB(A)；</w:t>
            </w:r>
          </w:p>
          <w:p w14:paraId="1BDE57FF">
            <w:pPr>
              <w:ind w:firstLine="480"/>
              <w:rPr>
                <w:color w:val="auto"/>
              </w:rPr>
            </w:pPr>
            <w:r>
              <w:rPr>
                <w:i/>
                <w:iCs/>
                <w:color w:val="auto"/>
              </w:rPr>
              <w:t>L</w:t>
            </w:r>
            <w:r>
              <w:rPr>
                <w:i/>
                <w:iCs/>
                <w:color w:val="auto"/>
                <w:vertAlign w:val="subscript"/>
              </w:rPr>
              <w:t>0</w:t>
            </w:r>
            <w:r>
              <w:rPr>
                <w:rFonts w:hint="eastAsia"/>
                <w:color w:val="auto"/>
              </w:rPr>
              <w:t>——单台设备声级，dB(A)；</w:t>
            </w:r>
          </w:p>
          <w:p w14:paraId="3BE29CF1">
            <w:pPr>
              <w:ind w:firstLine="480"/>
              <w:rPr>
                <w:color w:val="auto"/>
              </w:rPr>
            </w:pPr>
            <w:r>
              <w:rPr>
                <w:rFonts w:hint="eastAsia"/>
                <w:i/>
                <w:iCs/>
                <w:color w:val="auto"/>
              </w:rPr>
              <w:t>n</w:t>
            </w:r>
            <w:r>
              <w:rPr>
                <w:rFonts w:hint="eastAsia"/>
                <w:color w:val="auto"/>
              </w:rPr>
              <w:t>——设备数量。</w:t>
            </w:r>
          </w:p>
          <w:p w14:paraId="7FAB9214">
            <w:pPr>
              <w:pStyle w:val="35"/>
              <w:rPr>
                <w:rFonts w:hint="default"/>
                <w:color w:val="auto"/>
              </w:rPr>
            </w:pPr>
            <w:r>
              <w:rPr>
                <w:color w:val="auto"/>
              </w:rPr>
              <w:t>表4-10 本项目主要生产设备噪声源强一览表</w:t>
            </w:r>
          </w:p>
          <w:tbl>
            <w:tblPr>
              <w:tblStyle w:val="17"/>
              <w:tblW w:w="80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8"/>
              <w:gridCol w:w="731"/>
              <w:gridCol w:w="786"/>
              <w:gridCol w:w="641"/>
              <w:gridCol w:w="834"/>
              <w:gridCol w:w="741"/>
              <w:gridCol w:w="720"/>
              <w:gridCol w:w="788"/>
              <w:gridCol w:w="788"/>
              <w:gridCol w:w="788"/>
              <w:gridCol w:w="702"/>
            </w:tblGrid>
            <w:tr w14:paraId="3A3DCB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l2br w:val="nil"/>
                    <w:tr2bl w:val="nil"/>
                  </w:tcBorders>
                  <w:vAlign w:val="center"/>
                </w:tcPr>
                <w:p w14:paraId="741002DF">
                  <w:pPr>
                    <w:pStyle w:val="33"/>
                    <w:rPr>
                      <w:color w:val="auto"/>
                    </w:rPr>
                  </w:pPr>
                  <w:r>
                    <w:rPr>
                      <w:rFonts w:hint="eastAsia"/>
                      <w:color w:val="auto"/>
                    </w:rPr>
                    <w:t>序号</w:t>
                  </w:r>
                </w:p>
              </w:tc>
              <w:tc>
                <w:tcPr>
                  <w:tcW w:w="731" w:type="dxa"/>
                  <w:tcBorders>
                    <w:tl2br w:val="nil"/>
                    <w:tr2bl w:val="nil"/>
                  </w:tcBorders>
                  <w:vAlign w:val="center"/>
                </w:tcPr>
                <w:p w14:paraId="254B1DB9">
                  <w:pPr>
                    <w:pStyle w:val="33"/>
                    <w:rPr>
                      <w:color w:val="auto"/>
                    </w:rPr>
                  </w:pPr>
                  <w:r>
                    <w:rPr>
                      <w:rFonts w:hint="eastAsia"/>
                      <w:color w:val="auto"/>
                    </w:rPr>
                    <w:t>位置</w:t>
                  </w:r>
                </w:p>
              </w:tc>
              <w:tc>
                <w:tcPr>
                  <w:tcW w:w="786" w:type="dxa"/>
                  <w:tcBorders>
                    <w:tl2br w:val="nil"/>
                    <w:tr2bl w:val="nil"/>
                  </w:tcBorders>
                  <w:vAlign w:val="center"/>
                </w:tcPr>
                <w:p w14:paraId="4DC00DA9">
                  <w:pPr>
                    <w:pStyle w:val="33"/>
                    <w:rPr>
                      <w:color w:val="auto"/>
                    </w:rPr>
                  </w:pPr>
                  <w:r>
                    <w:rPr>
                      <w:rFonts w:hint="eastAsia"/>
                      <w:color w:val="auto"/>
                    </w:rPr>
                    <w:t>噪声源名称</w:t>
                  </w:r>
                </w:p>
              </w:tc>
              <w:tc>
                <w:tcPr>
                  <w:tcW w:w="641" w:type="dxa"/>
                  <w:tcBorders>
                    <w:tl2br w:val="nil"/>
                    <w:tr2bl w:val="nil"/>
                  </w:tcBorders>
                  <w:vAlign w:val="center"/>
                </w:tcPr>
                <w:p w14:paraId="5BD8E2DC">
                  <w:pPr>
                    <w:pStyle w:val="33"/>
                    <w:rPr>
                      <w:color w:val="auto"/>
                    </w:rPr>
                  </w:pPr>
                  <w:r>
                    <w:rPr>
                      <w:rFonts w:hint="eastAsia"/>
                      <w:color w:val="auto"/>
                    </w:rPr>
                    <w:t>数量</w:t>
                  </w:r>
                </w:p>
              </w:tc>
              <w:tc>
                <w:tcPr>
                  <w:tcW w:w="834" w:type="dxa"/>
                  <w:tcBorders>
                    <w:tl2br w:val="nil"/>
                    <w:tr2bl w:val="nil"/>
                  </w:tcBorders>
                  <w:vAlign w:val="center"/>
                </w:tcPr>
                <w:p w14:paraId="2A84034A">
                  <w:pPr>
                    <w:pStyle w:val="33"/>
                    <w:rPr>
                      <w:color w:val="auto"/>
                    </w:rPr>
                  </w:pPr>
                  <w:r>
                    <w:rPr>
                      <w:rFonts w:hint="eastAsia"/>
                      <w:color w:val="auto"/>
                    </w:rPr>
                    <w:t>设备组源强dB（A）</w:t>
                  </w:r>
                </w:p>
              </w:tc>
              <w:tc>
                <w:tcPr>
                  <w:tcW w:w="741" w:type="dxa"/>
                  <w:tcBorders>
                    <w:tl2br w:val="nil"/>
                    <w:tr2bl w:val="nil"/>
                  </w:tcBorders>
                  <w:vAlign w:val="center"/>
                </w:tcPr>
                <w:p w14:paraId="257F00E8">
                  <w:pPr>
                    <w:pStyle w:val="33"/>
                    <w:rPr>
                      <w:color w:val="auto"/>
                    </w:rPr>
                  </w:pPr>
                  <w:r>
                    <w:rPr>
                      <w:rFonts w:hint="eastAsia"/>
                      <w:color w:val="auto"/>
                    </w:rPr>
                    <w:t>空间位置X、Y、Z/m</w:t>
                  </w:r>
                </w:p>
              </w:tc>
              <w:tc>
                <w:tcPr>
                  <w:tcW w:w="720" w:type="dxa"/>
                  <w:tcBorders>
                    <w:tl2br w:val="nil"/>
                    <w:tr2bl w:val="nil"/>
                  </w:tcBorders>
                  <w:vAlign w:val="center"/>
                </w:tcPr>
                <w:p w14:paraId="145281A7">
                  <w:pPr>
                    <w:pStyle w:val="33"/>
                    <w:rPr>
                      <w:color w:val="auto"/>
                    </w:rPr>
                  </w:pPr>
                  <w:r>
                    <w:rPr>
                      <w:rFonts w:hint="eastAsia"/>
                      <w:color w:val="auto"/>
                    </w:rPr>
                    <w:t>距最近室内边界/m</w:t>
                  </w:r>
                </w:p>
              </w:tc>
              <w:tc>
                <w:tcPr>
                  <w:tcW w:w="788" w:type="dxa"/>
                  <w:tcBorders>
                    <w:tl2br w:val="nil"/>
                    <w:tr2bl w:val="nil"/>
                  </w:tcBorders>
                  <w:vAlign w:val="center"/>
                </w:tcPr>
                <w:p w14:paraId="3C448E14">
                  <w:pPr>
                    <w:pStyle w:val="33"/>
                    <w:rPr>
                      <w:color w:val="auto"/>
                    </w:rPr>
                  </w:pPr>
                  <w:r>
                    <w:rPr>
                      <w:rFonts w:hint="eastAsia"/>
                      <w:color w:val="auto"/>
                    </w:rPr>
                    <w:t>室内边界声级dB（A）</w:t>
                  </w:r>
                </w:p>
              </w:tc>
              <w:tc>
                <w:tcPr>
                  <w:tcW w:w="788" w:type="dxa"/>
                  <w:tcBorders>
                    <w:tl2br w:val="nil"/>
                    <w:tr2bl w:val="nil"/>
                  </w:tcBorders>
                  <w:vAlign w:val="center"/>
                </w:tcPr>
                <w:p w14:paraId="2D0B67C3">
                  <w:pPr>
                    <w:pStyle w:val="33"/>
                    <w:rPr>
                      <w:color w:val="auto"/>
                    </w:rPr>
                  </w:pPr>
                  <w:r>
                    <w:rPr>
                      <w:rFonts w:hint="eastAsia"/>
                      <w:color w:val="auto"/>
                    </w:rPr>
                    <w:t>建筑物插入损失dB（A）</w:t>
                  </w:r>
                </w:p>
              </w:tc>
              <w:tc>
                <w:tcPr>
                  <w:tcW w:w="788" w:type="dxa"/>
                  <w:tcBorders>
                    <w:tl2br w:val="nil"/>
                    <w:tr2bl w:val="nil"/>
                  </w:tcBorders>
                  <w:vAlign w:val="center"/>
                </w:tcPr>
                <w:p w14:paraId="29987D28">
                  <w:pPr>
                    <w:pStyle w:val="33"/>
                    <w:rPr>
                      <w:color w:val="auto"/>
                    </w:rPr>
                  </w:pPr>
                  <w:r>
                    <w:rPr>
                      <w:rFonts w:hint="eastAsia"/>
                      <w:color w:val="auto"/>
                    </w:rPr>
                    <w:t>建筑物外1m声级dB（A）</w:t>
                  </w:r>
                </w:p>
              </w:tc>
              <w:tc>
                <w:tcPr>
                  <w:tcW w:w="702" w:type="dxa"/>
                  <w:tcBorders>
                    <w:tl2br w:val="nil"/>
                    <w:tr2bl w:val="nil"/>
                  </w:tcBorders>
                  <w:vAlign w:val="center"/>
                </w:tcPr>
                <w:p w14:paraId="5A062EC9">
                  <w:pPr>
                    <w:pStyle w:val="33"/>
                    <w:rPr>
                      <w:color w:val="auto"/>
                    </w:rPr>
                  </w:pPr>
                  <w:r>
                    <w:rPr>
                      <w:rFonts w:hint="eastAsia"/>
                      <w:color w:val="auto"/>
                    </w:rPr>
                    <w:t>运行时段</w:t>
                  </w:r>
                </w:p>
              </w:tc>
            </w:tr>
            <w:tr w14:paraId="6F8655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l2br w:val="nil"/>
                    <w:tr2bl w:val="nil"/>
                  </w:tcBorders>
                  <w:vAlign w:val="center"/>
                </w:tcPr>
                <w:p w14:paraId="6FAB6E94">
                  <w:pPr>
                    <w:pStyle w:val="33"/>
                    <w:rPr>
                      <w:color w:val="auto"/>
                    </w:rPr>
                  </w:pPr>
                  <w:r>
                    <w:rPr>
                      <w:rFonts w:hint="eastAsia"/>
                      <w:color w:val="auto"/>
                    </w:rPr>
                    <w:t>1</w:t>
                  </w:r>
                </w:p>
              </w:tc>
              <w:tc>
                <w:tcPr>
                  <w:tcW w:w="731" w:type="dxa"/>
                  <w:tcBorders>
                    <w:tl2br w:val="nil"/>
                    <w:tr2bl w:val="nil"/>
                  </w:tcBorders>
                  <w:vAlign w:val="center"/>
                </w:tcPr>
                <w:p w14:paraId="1EBE082C">
                  <w:pPr>
                    <w:pStyle w:val="33"/>
                    <w:rPr>
                      <w:color w:val="auto"/>
                    </w:rPr>
                  </w:pPr>
                  <w:r>
                    <w:rPr>
                      <w:rFonts w:hint="eastAsia"/>
                      <w:color w:val="auto"/>
                    </w:rPr>
                    <w:t>预处理间</w:t>
                  </w:r>
                </w:p>
              </w:tc>
              <w:tc>
                <w:tcPr>
                  <w:tcW w:w="786" w:type="dxa"/>
                  <w:tcBorders>
                    <w:tl2br w:val="nil"/>
                    <w:tr2bl w:val="nil"/>
                  </w:tcBorders>
                  <w:vAlign w:val="center"/>
                </w:tcPr>
                <w:p w14:paraId="7B4C42BE">
                  <w:pPr>
                    <w:pStyle w:val="33"/>
                    <w:rPr>
                      <w:color w:val="auto"/>
                    </w:rPr>
                  </w:pPr>
                  <w:r>
                    <w:rPr>
                      <w:rFonts w:hint="eastAsia"/>
                      <w:color w:val="auto"/>
                    </w:rPr>
                    <w:t>洗姜机</w:t>
                  </w:r>
                </w:p>
              </w:tc>
              <w:tc>
                <w:tcPr>
                  <w:tcW w:w="641" w:type="dxa"/>
                  <w:tcBorders>
                    <w:tl2br w:val="nil"/>
                    <w:tr2bl w:val="nil"/>
                  </w:tcBorders>
                  <w:vAlign w:val="center"/>
                </w:tcPr>
                <w:p w14:paraId="37A96D28">
                  <w:pPr>
                    <w:pStyle w:val="33"/>
                    <w:rPr>
                      <w:color w:val="auto"/>
                    </w:rPr>
                  </w:pPr>
                  <w:r>
                    <w:rPr>
                      <w:rFonts w:hint="eastAsia"/>
                      <w:color w:val="auto"/>
                    </w:rPr>
                    <w:t>1台</w:t>
                  </w:r>
                </w:p>
              </w:tc>
              <w:tc>
                <w:tcPr>
                  <w:tcW w:w="834" w:type="dxa"/>
                  <w:tcBorders>
                    <w:tl2br w:val="nil"/>
                    <w:tr2bl w:val="nil"/>
                  </w:tcBorders>
                  <w:vAlign w:val="center"/>
                </w:tcPr>
                <w:p w14:paraId="79CD745D">
                  <w:pPr>
                    <w:pStyle w:val="33"/>
                    <w:rPr>
                      <w:color w:val="auto"/>
                    </w:rPr>
                  </w:pPr>
                  <w:r>
                    <w:rPr>
                      <w:rFonts w:hint="eastAsia"/>
                      <w:color w:val="auto"/>
                    </w:rPr>
                    <w:t>70</w:t>
                  </w:r>
                </w:p>
              </w:tc>
              <w:tc>
                <w:tcPr>
                  <w:tcW w:w="741" w:type="dxa"/>
                  <w:tcBorders>
                    <w:tl2br w:val="nil"/>
                    <w:tr2bl w:val="nil"/>
                  </w:tcBorders>
                  <w:vAlign w:val="center"/>
                </w:tcPr>
                <w:p w14:paraId="59F61602">
                  <w:pPr>
                    <w:pStyle w:val="33"/>
                    <w:rPr>
                      <w:color w:val="auto"/>
                    </w:rPr>
                  </w:pPr>
                  <w:r>
                    <w:rPr>
                      <w:rFonts w:hint="eastAsia"/>
                      <w:color w:val="auto"/>
                    </w:rPr>
                    <w:t>4.5,93,1.2</w:t>
                  </w:r>
                </w:p>
              </w:tc>
              <w:tc>
                <w:tcPr>
                  <w:tcW w:w="720" w:type="dxa"/>
                  <w:tcBorders>
                    <w:tl2br w:val="nil"/>
                    <w:tr2bl w:val="nil"/>
                  </w:tcBorders>
                  <w:vAlign w:val="center"/>
                </w:tcPr>
                <w:p w14:paraId="50B73F3D">
                  <w:pPr>
                    <w:pStyle w:val="33"/>
                    <w:rPr>
                      <w:color w:val="auto"/>
                    </w:rPr>
                  </w:pPr>
                  <w:r>
                    <w:rPr>
                      <w:rFonts w:hint="eastAsia"/>
                      <w:color w:val="auto"/>
                    </w:rPr>
                    <w:t>4.5</w:t>
                  </w:r>
                </w:p>
              </w:tc>
              <w:tc>
                <w:tcPr>
                  <w:tcW w:w="788" w:type="dxa"/>
                  <w:tcBorders>
                    <w:tl2br w:val="nil"/>
                    <w:tr2bl w:val="nil"/>
                  </w:tcBorders>
                  <w:vAlign w:val="center"/>
                </w:tcPr>
                <w:p w14:paraId="2101F24F">
                  <w:pPr>
                    <w:pStyle w:val="33"/>
                    <w:rPr>
                      <w:color w:val="auto"/>
                    </w:rPr>
                  </w:pPr>
                  <w:r>
                    <w:rPr>
                      <w:rFonts w:hint="eastAsia"/>
                      <w:color w:val="auto"/>
                    </w:rPr>
                    <w:t>56.9</w:t>
                  </w:r>
                </w:p>
              </w:tc>
              <w:tc>
                <w:tcPr>
                  <w:tcW w:w="788" w:type="dxa"/>
                  <w:tcBorders>
                    <w:tl2br w:val="nil"/>
                    <w:tr2bl w:val="nil"/>
                  </w:tcBorders>
                  <w:vAlign w:val="center"/>
                </w:tcPr>
                <w:p w14:paraId="62B990CC">
                  <w:pPr>
                    <w:pStyle w:val="33"/>
                    <w:rPr>
                      <w:color w:val="auto"/>
                    </w:rPr>
                  </w:pPr>
                  <w:r>
                    <w:rPr>
                      <w:rFonts w:hint="eastAsia"/>
                      <w:color w:val="auto"/>
                    </w:rPr>
                    <w:t>18</w:t>
                  </w:r>
                </w:p>
              </w:tc>
              <w:tc>
                <w:tcPr>
                  <w:tcW w:w="788" w:type="dxa"/>
                  <w:tcBorders>
                    <w:tl2br w:val="nil"/>
                    <w:tr2bl w:val="nil"/>
                  </w:tcBorders>
                  <w:vAlign w:val="center"/>
                </w:tcPr>
                <w:p w14:paraId="03F4C29F">
                  <w:pPr>
                    <w:pStyle w:val="33"/>
                    <w:rPr>
                      <w:color w:val="auto"/>
                    </w:rPr>
                  </w:pPr>
                  <w:r>
                    <w:rPr>
                      <w:rFonts w:hint="eastAsia"/>
                      <w:color w:val="auto"/>
                    </w:rPr>
                    <w:t>38.9</w:t>
                  </w:r>
                </w:p>
              </w:tc>
              <w:tc>
                <w:tcPr>
                  <w:tcW w:w="702" w:type="dxa"/>
                  <w:tcBorders>
                    <w:tl2br w:val="nil"/>
                    <w:tr2bl w:val="nil"/>
                  </w:tcBorders>
                  <w:vAlign w:val="center"/>
                </w:tcPr>
                <w:p w14:paraId="5FDAFF70">
                  <w:pPr>
                    <w:pStyle w:val="33"/>
                    <w:rPr>
                      <w:color w:val="auto"/>
                    </w:rPr>
                  </w:pPr>
                  <w:r>
                    <w:rPr>
                      <w:rFonts w:hint="eastAsia"/>
                      <w:color w:val="auto"/>
                    </w:rPr>
                    <w:t>昼间8h</w:t>
                  </w:r>
                </w:p>
              </w:tc>
            </w:tr>
            <w:tr w14:paraId="45FEF7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l2br w:val="nil"/>
                    <w:tr2bl w:val="nil"/>
                  </w:tcBorders>
                  <w:vAlign w:val="center"/>
                </w:tcPr>
                <w:p w14:paraId="0F9BA165">
                  <w:pPr>
                    <w:pStyle w:val="33"/>
                    <w:rPr>
                      <w:color w:val="auto"/>
                    </w:rPr>
                  </w:pPr>
                  <w:r>
                    <w:rPr>
                      <w:rFonts w:hint="eastAsia"/>
                      <w:color w:val="auto"/>
                    </w:rPr>
                    <w:t>2</w:t>
                  </w:r>
                </w:p>
              </w:tc>
              <w:tc>
                <w:tcPr>
                  <w:tcW w:w="731" w:type="dxa"/>
                  <w:tcBorders>
                    <w:tl2br w:val="nil"/>
                    <w:tr2bl w:val="nil"/>
                  </w:tcBorders>
                  <w:vAlign w:val="center"/>
                </w:tcPr>
                <w:p w14:paraId="608B6500">
                  <w:pPr>
                    <w:pStyle w:val="33"/>
                    <w:rPr>
                      <w:color w:val="auto"/>
                    </w:rPr>
                  </w:pPr>
                  <w:r>
                    <w:rPr>
                      <w:rFonts w:hint="eastAsia"/>
                      <w:color w:val="auto"/>
                    </w:rPr>
                    <w:t>预处理间</w:t>
                  </w:r>
                </w:p>
              </w:tc>
              <w:tc>
                <w:tcPr>
                  <w:tcW w:w="786" w:type="dxa"/>
                  <w:tcBorders>
                    <w:tl2br w:val="nil"/>
                    <w:tr2bl w:val="nil"/>
                  </w:tcBorders>
                  <w:vAlign w:val="center"/>
                </w:tcPr>
                <w:p w14:paraId="5EAE8B83">
                  <w:pPr>
                    <w:pStyle w:val="33"/>
                    <w:rPr>
                      <w:color w:val="auto"/>
                    </w:rPr>
                  </w:pPr>
                  <w:r>
                    <w:rPr>
                      <w:rFonts w:hint="eastAsia"/>
                      <w:color w:val="auto"/>
                    </w:rPr>
                    <w:t>斩拌机</w:t>
                  </w:r>
                </w:p>
              </w:tc>
              <w:tc>
                <w:tcPr>
                  <w:tcW w:w="641" w:type="dxa"/>
                  <w:tcBorders>
                    <w:tl2br w:val="nil"/>
                    <w:tr2bl w:val="nil"/>
                  </w:tcBorders>
                  <w:vAlign w:val="center"/>
                </w:tcPr>
                <w:p w14:paraId="692B0A9C">
                  <w:pPr>
                    <w:pStyle w:val="33"/>
                    <w:rPr>
                      <w:color w:val="auto"/>
                    </w:rPr>
                  </w:pPr>
                  <w:r>
                    <w:rPr>
                      <w:rFonts w:hint="eastAsia"/>
                      <w:color w:val="auto"/>
                    </w:rPr>
                    <w:t>1台</w:t>
                  </w:r>
                </w:p>
              </w:tc>
              <w:tc>
                <w:tcPr>
                  <w:tcW w:w="834" w:type="dxa"/>
                  <w:tcBorders>
                    <w:tl2br w:val="nil"/>
                    <w:tr2bl w:val="nil"/>
                  </w:tcBorders>
                  <w:vAlign w:val="center"/>
                </w:tcPr>
                <w:p w14:paraId="334303B3">
                  <w:pPr>
                    <w:pStyle w:val="33"/>
                    <w:rPr>
                      <w:color w:val="auto"/>
                    </w:rPr>
                  </w:pPr>
                  <w:r>
                    <w:rPr>
                      <w:rFonts w:hint="eastAsia"/>
                      <w:color w:val="auto"/>
                    </w:rPr>
                    <w:t>80</w:t>
                  </w:r>
                </w:p>
              </w:tc>
              <w:tc>
                <w:tcPr>
                  <w:tcW w:w="741" w:type="dxa"/>
                  <w:tcBorders>
                    <w:tl2br w:val="nil"/>
                    <w:tr2bl w:val="nil"/>
                  </w:tcBorders>
                  <w:vAlign w:val="center"/>
                </w:tcPr>
                <w:p w14:paraId="2CF1BBA0">
                  <w:pPr>
                    <w:pStyle w:val="33"/>
                    <w:rPr>
                      <w:color w:val="auto"/>
                    </w:rPr>
                  </w:pPr>
                  <w:r>
                    <w:rPr>
                      <w:rFonts w:hint="eastAsia"/>
                      <w:color w:val="auto"/>
                    </w:rPr>
                    <w:t>5.0,92,1.2</w:t>
                  </w:r>
                </w:p>
              </w:tc>
              <w:tc>
                <w:tcPr>
                  <w:tcW w:w="720" w:type="dxa"/>
                  <w:tcBorders>
                    <w:tl2br w:val="nil"/>
                    <w:tr2bl w:val="nil"/>
                  </w:tcBorders>
                  <w:vAlign w:val="center"/>
                </w:tcPr>
                <w:p w14:paraId="50B7BB8C">
                  <w:pPr>
                    <w:pStyle w:val="33"/>
                    <w:rPr>
                      <w:color w:val="auto"/>
                    </w:rPr>
                  </w:pPr>
                  <w:r>
                    <w:rPr>
                      <w:rFonts w:hint="eastAsia"/>
                      <w:color w:val="auto"/>
                    </w:rPr>
                    <w:t>5.0</w:t>
                  </w:r>
                </w:p>
              </w:tc>
              <w:tc>
                <w:tcPr>
                  <w:tcW w:w="788" w:type="dxa"/>
                  <w:tcBorders>
                    <w:tl2br w:val="nil"/>
                    <w:tr2bl w:val="nil"/>
                  </w:tcBorders>
                  <w:vAlign w:val="center"/>
                </w:tcPr>
                <w:p w14:paraId="33A2BC35">
                  <w:pPr>
                    <w:pStyle w:val="33"/>
                    <w:rPr>
                      <w:color w:val="auto"/>
                    </w:rPr>
                  </w:pPr>
                  <w:r>
                    <w:rPr>
                      <w:rFonts w:hint="eastAsia"/>
                      <w:color w:val="auto"/>
                    </w:rPr>
                    <w:t>66.0</w:t>
                  </w:r>
                </w:p>
              </w:tc>
              <w:tc>
                <w:tcPr>
                  <w:tcW w:w="788" w:type="dxa"/>
                  <w:tcBorders>
                    <w:tl2br w:val="nil"/>
                    <w:tr2bl w:val="nil"/>
                  </w:tcBorders>
                  <w:vAlign w:val="center"/>
                </w:tcPr>
                <w:p w14:paraId="051B08A3">
                  <w:pPr>
                    <w:pStyle w:val="33"/>
                    <w:rPr>
                      <w:color w:val="auto"/>
                    </w:rPr>
                  </w:pPr>
                  <w:r>
                    <w:rPr>
                      <w:color w:val="auto"/>
                    </w:rPr>
                    <w:t>18</w:t>
                  </w:r>
                </w:p>
              </w:tc>
              <w:tc>
                <w:tcPr>
                  <w:tcW w:w="788" w:type="dxa"/>
                  <w:tcBorders>
                    <w:tl2br w:val="nil"/>
                    <w:tr2bl w:val="nil"/>
                  </w:tcBorders>
                  <w:vAlign w:val="center"/>
                </w:tcPr>
                <w:p w14:paraId="7926FE59">
                  <w:pPr>
                    <w:pStyle w:val="33"/>
                    <w:rPr>
                      <w:color w:val="auto"/>
                    </w:rPr>
                  </w:pPr>
                  <w:r>
                    <w:rPr>
                      <w:rFonts w:hint="eastAsia"/>
                      <w:color w:val="auto"/>
                    </w:rPr>
                    <w:t>48.0</w:t>
                  </w:r>
                </w:p>
              </w:tc>
              <w:tc>
                <w:tcPr>
                  <w:tcW w:w="702" w:type="dxa"/>
                  <w:tcBorders>
                    <w:tl2br w:val="nil"/>
                    <w:tr2bl w:val="nil"/>
                  </w:tcBorders>
                  <w:vAlign w:val="center"/>
                </w:tcPr>
                <w:p w14:paraId="67F891D1">
                  <w:pPr>
                    <w:pStyle w:val="33"/>
                    <w:rPr>
                      <w:color w:val="auto"/>
                    </w:rPr>
                  </w:pPr>
                  <w:r>
                    <w:rPr>
                      <w:rFonts w:hint="eastAsia"/>
                      <w:color w:val="auto"/>
                    </w:rPr>
                    <w:t>昼间8h</w:t>
                  </w:r>
                </w:p>
              </w:tc>
            </w:tr>
            <w:tr w14:paraId="78C65E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l2br w:val="nil"/>
                    <w:tr2bl w:val="nil"/>
                  </w:tcBorders>
                  <w:vAlign w:val="center"/>
                </w:tcPr>
                <w:p w14:paraId="617A7313">
                  <w:pPr>
                    <w:pStyle w:val="33"/>
                    <w:rPr>
                      <w:color w:val="auto"/>
                    </w:rPr>
                  </w:pPr>
                  <w:r>
                    <w:rPr>
                      <w:rFonts w:hint="eastAsia"/>
                      <w:color w:val="auto"/>
                    </w:rPr>
                    <w:t>3</w:t>
                  </w:r>
                </w:p>
              </w:tc>
              <w:tc>
                <w:tcPr>
                  <w:tcW w:w="731" w:type="dxa"/>
                  <w:tcBorders>
                    <w:tl2br w:val="nil"/>
                    <w:tr2bl w:val="nil"/>
                  </w:tcBorders>
                  <w:vAlign w:val="center"/>
                </w:tcPr>
                <w:p w14:paraId="319D8548">
                  <w:pPr>
                    <w:pStyle w:val="33"/>
                    <w:rPr>
                      <w:color w:val="auto"/>
                    </w:rPr>
                  </w:pPr>
                  <w:r>
                    <w:rPr>
                      <w:rFonts w:hint="eastAsia"/>
                      <w:color w:val="auto"/>
                    </w:rPr>
                    <w:t>粉碎间</w:t>
                  </w:r>
                </w:p>
              </w:tc>
              <w:tc>
                <w:tcPr>
                  <w:tcW w:w="786" w:type="dxa"/>
                  <w:tcBorders>
                    <w:tl2br w:val="nil"/>
                    <w:tr2bl w:val="nil"/>
                  </w:tcBorders>
                  <w:vAlign w:val="center"/>
                </w:tcPr>
                <w:p w14:paraId="030EEBC8">
                  <w:pPr>
                    <w:pStyle w:val="33"/>
                    <w:rPr>
                      <w:color w:val="auto"/>
                    </w:rPr>
                  </w:pPr>
                  <w:r>
                    <w:rPr>
                      <w:rFonts w:hint="eastAsia"/>
                      <w:color w:val="auto"/>
                    </w:rPr>
                    <w:t>粉碎机</w:t>
                  </w:r>
                </w:p>
              </w:tc>
              <w:tc>
                <w:tcPr>
                  <w:tcW w:w="641" w:type="dxa"/>
                  <w:tcBorders>
                    <w:tl2br w:val="nil"/>
                    <w:tr2bl w:val="nil"/>
                  </w:tcBorders>
                  <w:vAlign w:val="center"/>
                </w:tcPr>
                <w:p w14:paraId="6E781C37">
                  <w:pPr>
                    <w:pStyle w:val="33"/>
                    <w:rPr>
                      <w:color w:val="auto"/>
                    </w:rPr>
                  </w:pPr>
                  <w:r>
                    <w:rPr>
                      <w:rFonts w:hint="eastAsia"/>
                      <w:color w:val="auto"/>
                    </w:rPr>
                    <w:t>1台</w:t>
                  </w:r>
                </w:p>
              </w:tc>
              <w:tc>
                <w:tcPr>
                  <w:tcW w:w="834" w:type="dxa"/>
                  <w:tcBorders>
                    <w:tl2br w:val="nil"/>
                    <w:tr2bl w:val="nil"/>
                  </w:tcBorders>
                  <w:vAlign w:val="center"/>
                </w:tcPr>
                <w:p w14:paraId="10DF4B8B">
                  <w:pPr>
                    <w:pStyle w:val="33"/>
                    <w:rPr>
                      <w:color w:val="auto"/>
                    </w:rPr>
                  </w:pPr>
                  <w:r>
                    <w:rPr>
                      <w:rFonts w:hint="eastAsia"/>
                      <w:color w:val="auto"/>
                    </w:rPr>
                    <w:t>85</w:t>
                  </w:r>
                </w:p>
              </w:tc>
              <w:tc>
                <w:tcPr>
                  <w:tcW w:w="741" w:type="dxa"/>
                  <w:tcBorders>
                    <w:tl2br w:val="nil"/>
                    <w:tr2bl w:val="nil"/>
                  </w:tcBorders>
                  <w:vAlign w:val="center"/>
                </w:tcPr>
                <w:p w14:paraId="6161CAB7">
                  <w:pPr>
                    <w:pStyle w:val="33"/>
                    <w:rPr>
                      <w:color w:val="auto"/>
                    </w:rPr>
                  </w:pPr>
                  <w:r>
                    <w:rPr>
                      <w:rFonts w:hint="eastAsia"/>
                      <w:color w:val="auto"/>
                    </w:rPr>
                    <w:t>17,102,1.2</w:t>
                  </w:r>
                </w:p>
              </w:tc>
              <w:tc>
                <w:tcPr>
                  <w:tcW w:w="720" w:type="dxa"/>
                  <w:tcBorders>
                    <w:tl2br w:val="nil"/>
                    <w:tr2bl w:val="nil"/>
                  </w:tcBorders>
                  <w:vAlign w:val="center"/>
                </w:tcPr>
                <w:p w14:paraId="7FAAC9A9">
                  <w:pPr>
                    <w:pStyle w:val="33"/>
                    <w:rPr>
                      <w:color w:val="auto"/>
                    </w:rPr>
                  </w:pPr>
                  <w:r>
                    <w:rPr>
                      <w:rFonts w:hint="eastAsia"/>
                      <w:color w:val="auto"/>
                    </w:rPr>
                    <w:t>5.5</w:t>
                  </w:r>
                </w:p>
              </w:tc>
              <w:tc>
                <w:tcPr>
                  <w:tcW w:w="788" w:type="dxa"/>
                  <w:tcBorders>
                    <w:tl2br w:val="nil"/>
                    <w:tr2bl w:val="nil"/>
                  </w:tcBorders>
                  <w:vAlign w:val="center"/>
                </w:tcPr>
                <w:p w14:paraId="560749E9">
                  <w:pPr>
                    <w:pStyle w:val="33"/>
                    <w:rPr>
                      <w:color w:val="auto"/>
                    </w:rPr>
                  </w:pPr>
                  <w:r>
                    <w:rPr>
                      <w:rFonts w:hint="eastAsia"/>
                      <w:color w:val="auto"/>
                    </w:rPr>
                    <w:t>73.2</w:t>
                  </w:r>
                </w:p>
              </w:tc>
              <w:tc>
                <w:tcPr>
                  <w:tcW w:w="788" w:type="dxa"/>
                  <w:tcBorders>
                    <w:tl2br w:val="nil"/>
                    <w:tr2bl w:val="nil"/>
                  </w:tcBorders>
                  <w:vAlign w:val="center"/>
                </w:tcPr>
                <w:p w14:paraId="70AB50AD">
                  <w:pPr>
                    <w:pStyle w:val="33"/>
                    <w:rPr>
                      <w:color w:val="auto"/>
                    </w:rPr>
                  </w:pPr>
                  <w:r>
                    <w:rPr>
                      <w:color w:val="auto"/>
                    </w:rPr>
                    <w:t>18</w:t>
                  </w:r>
                </w:p>
              </w:tc>
              <w:tc>
                <w:tcPr>
                  <w:tcW w:w="788" w:type="dxa"/>
                  <w:tcBorders>
                    <w:tl2br w:val="nil"/>
                    <w:tr2bl w:val="nil"/>
                  </w:tcBorders>
                  <w:vAlign w:val="center"/>
                </w:tcPr>
                <w:p w14:paraId="7742DF4D">
                  <w:pPr>
                    <w:pStyle w:val="33"/>
                    <w:rPr>
                      <w:color w:val="auto"/>
                    </w:rPr>
                  </w:pPr>
                  <w:r>
                    <w:rPr>
                      <w:rFonts w:hint="eastAsia"/>
                      <w:color w:val="auto"/>
                    </w:rPr>
                    <w:t>55.2</w:t>
                  </w:r>
                </w:p>
              </w:tc>
              <w:tc>
                <w:tcPr>
                  <w:tcW w:w="702" w:type="dxa"/>
                  <w:tcBorders>
                    <w:tl2br w:val="nil"/>
                    <w:tr2bl w:val="nil"/>
                  </w:tcBorders>
                  <w:vAlign w:val="center"/>
                </w:tcPr>
                <w:p w14:paraId="5B7D80E3">
                  <w:pPr>
                    <w:pStyle w:val="33"/>
                    <w:rPr>
                      <w:color w:val="auto"/>
                    </w:rPr>
                  </w:pPr>
                  <w:r>
                    <w:rPr>
                      <w:rFonts w:hint="eastAsia"/>
                      <w:color w:val="auto"/>
                    </w:rPr>
                    <w:t>昼间8h</w:t>
                  </w:r>
                </w:p>
              </w:tc>
            </w:tr>
            <w:tr w14:paraId="084635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l2br w:val="nil"/>
                    <w:tr2bl w:val="nil"/>
                  </w:tcBorders>
                  <w:vAlign w:val="center"/>
                </w:tcPr>
                <w:p w14:paraId="6D1CA801">
                  <w:pPr>
                    <w:pStyle w:val="33"/>
                    <w:rPr>
                      <w:color w:val="auto"/>
                    </w:rPr>
                  </w:pPr>
                  <w:r>
                    <w:rPr>
                      <w:rFonts w:hint="eastAsia"/>
                      <w:color w:val="auto"/>
                    </w:rPr>
                    <w:t>4</w:t>
                  </w:r>
                </w:p>
              </w:tc>
              <w:tc>
                <w:tcPr>
                  <w:tcW w:w="731" w:type="dxa"/>
                  <w:tcBorders>
                    <w:tl2br w:val="nil"/>
                    <w:tr2bl w:val="nil"/>
                  </w:tcBorders>
                  <w:vAlign w:val="center"/>
                </w:tcPr>
                <w:p w14:paraId="7F662E43">
                  <w:pPr>
                    <w:pStyle w:val="33"/>
                    <w:rPr>
                      <w:color w:val="auto"/>
                    </w:rPr>
                  </w:pPr>
                  <w:r>
                    <w:rPr>
                      <w:rFonts w:hint="eastAsia"/>
                      <w:color w:val="auto"/>
                    </w:rPr>
                    <w:t>调配混合间</w:t>
                  </w:r>
                </w:p>
              </w:tc>
              <w:tc>
                <w:tcPr>
                  <w:tcW w:w="786" w:type="dxa"/>
                  <w:tcBorders>
                    <w:tl2br w:val="nil"/>
                    <w:tr2bl w:val="nil"/>
                  </w:tcBorders>
                  <w:vAlign w:val="center"/>
                </w:tcPr>
                <w:p w14:paraId="0E09C2F1">
                  <w:pPr>
                    <w:pStyle w:val="33"/>
                    <w:rPr>
                      <w:color w:val="auto"/>
                    </w:rPr>
                  </w:pPr>
                  <w:r>
                    <w:rPr>
                      <w:rFonts w:hint="eastAsia"/>
                      <w:color w:val="auto"/>
                    </w:rPr>
                    <w:t>立式高速混合机</w:t>
                  </w:r>
                </w:p>
              </w:tc>
              <w:tc>
                <w:tcPr>
                  <w:tcW w:w="641" w:type="dxa"/>
                  <w:tcBorders>
                    <w:tl2br w:val="nil"/>
                    <w:tr2bl w:val="nil"/>
                  </w:tcBorders>
                  <w:vAlign w:val="center"/>
                </w:tcPr>
                <w:p w14:paraId="2788621B">
                  <w:pPr>
                    <w:pStyle w:val="33"/>
                    <w:rPr>
                      <w:color w:val="auto"/>
                    </w:rPr>
                  </w:pPr>
                  <w:r>
                    <w:rPr>
                      <w:rFonts w:hint="eastAsia"/>
                      <w:color w:val="auto"/>
                    </w:rPr>
                    <w:t>2台</w:t>
                  </w:r>
                </w:p>
              </w:tc>
              <w:tc>
                <w:tcPr>
                  <w:tcW w:w="834" w:type="dxa"/>
                  <w:tcBorders>
                    <w:tl2br w:val="nil"/>
                    <w:tr2bl w:val="nil"/>
                  </w:tcBorders>
                  <w:vAlign w:val="center"/>
                </w:tcPr>
                <w:p w14:paraId="36287562">
                  <w:pPr>
                    <w:pStyle w:val="33"/>
                    <w:rPr>
                      <w:color w:val="auto"/>
                    </w:rPr>
                  </w:pPr>
                  <w:r>
                    <w:rPr>
                      <w:rFonts w:hint="eastAsia"/>
                      <w:color w:val="auto"/>
                    </w:rPr>
                    <w:t>75</w:t>
                  </w:r>
                </w:p>
              </w:tc>
              <w:tc>
                <w:tcPr>
                  <w:tcW w:w="741" w:type="dxa"/>
                  <w:tcBorders>
                    <w:tl2br w:val="nil"/>
                    <w:tr2bl w:val="nil"/>
                  </w:tcBorders>
                  <w:vAlign w:val="center"/>
                </w:tcPr>
                <w:p w14:paraId="492C06B2">
                  <w:pPr>
                    <w:pStyle w:val="33"/>
                    <w:rPr>
                      <w:color w:val="auto"/>
                    </w:rPr>
                  </w:pPr>
                  <w:r>
                    <w:rPr>
                      <w:rFonts w:hint="eastAsia"/>
                      <w:color w:val="auto"/>
                    </w:rPr>
                    <w:t>19,90,1.2</w:t>
                  </w:r>
                </w:p>
              </w:tc>
              <w:tc>
                <w:tcPr>
                  <w:tcW w:w="720" w:type="dxa"/>
                  <w:tcBorders>
                    <w:tl2br w:val="nil"/>
                    <w:tr2bl w:val="nil"/>
                  </w:tcBorders>
                  <w:vAlign w:val="center"/>
                </w:tcPr>
                <w:p w14:paraId="3909A931">
                  <w:pPr>
                    <w:pStyle w:val="33"/>
                    <w:rPr>
                      <w:color w:val="auto"/>
                    </w:rPr>
                  </w:pPr>
                  <w:r>
                    <w:rPr>
                      <w:rFonts w:hint="eastAsia"/>
                      <w:color w:val="auto"/>
                    </w:rPr>
                    <w:t>3.5</w:t>
                  </w:r>
                </w:p>
              </w:tc>
              <w:tc>
                <w:tcPr>
                  <w:tcW w:w="788" w:type="dxa"/>
                  <w:tcBorders>
                    <w:tl2br w:val="nil"/>
                    <w:tr2bl w:val="nil"/>
                  </w:tcBorders>
                  <w:vAlign w:val="center"/>
                </w:tcPr>
                <w:p w14:paraId="42AC7E10">
                  <w:pPr>
                    <w:pStyle w:val="33"/>
                    <w:rPr>
                      <w:color w:val="auto"/>
                    </w:rPr>
                  </w:pPr>
                  <w:r>
                    <w:rPr>
                      <w:rFonts w:hint="eastAsia"/>
                      <w:color w:val="auto"/>
                    </w:rPr>
                    <w:t>67.1</w:t>
                  </w:r>
                </w:p>
              </w:tc>
              <w:tc>
                <w:tcPr>
                  <w:tcW w:w="788" w:type="dxa"/>
                  <w:tcBorders>
                    <w:tl2br w:val="nil"/>
                    <w:tr2bl w:val="nil"/>
                  </w:tcBorders>
                  <w:vAlign w:val="center"/>
                </w:tcPr>
                <w:p w14:paraId="6E6D0DAB">
                  <w:pPr>
                    <w:pStyle w:val="33"/>
                    <w:rPr>
                      <w:color w:val="auto"/>
                    </w:rPr>
                  </w:pPr>
                  <w:r>
                    <w:rPr>
                      <w:color w:val="auto"/>
                    </w:rPr>
                    <w:t>18</w:t>
                  </w:r>
                </w:p>
              </w:tc>
              <w:tc>
                <w:tcPr>
                  <w:tcW w:w="788" w:type="dxa"/>
                  <w:tcBorders>
                    <w:tl2br w:val="nil"/>
                    <w:tr2bl w:val="nil"/>
                  </w:tcBorders>
                  <w:vAlign w:val="center"/>
                </w:tcPr>
                <w:p w14:paraId="68B23B80">
                  <w:pPr>
                    <w:pStyle w:val="33"/>
                    <w:rPr>
                      <w:color w:val="auto"/>
                    </w:rPr>
                  </w:pPr>
                  <w:r>
                    <w:rPr>
                      <w:rFonts w:hint="eastAsia"/>
                      <w:color w:val="auto"/>
                    </w:rPr>
                    <w:t>49.1</w:t>
                  </w:r>
                </w:p>
              </w:tc>
              <w:tc>
                <w:tcPr>
                  <w:tcW w:w="702" w:type="dxa"/>
                  <w:tcBorders>
                    <w:tl2br w:val="nil"/>
                    <w:tr2bl w:val="nil"/>
                  </w:tcBorders>
                  <w:vAlign w:val="center"/>
                </w:tcPr>
                <w:p w14:paraId="18A18A60">
                  <w:pPr>
                    <w:pStyle w:val="33"/>
                    <w:rPr>
                      <w:color w:val="auto"/>
                    </w:rPr>
                  </w:pPr>
                  <w:r>
                    <w:rPr>
                      <w:rFonts w:hint="eastAsia"/>
                      <w:color w:val="auto"/>
                    </w:rPr>
                    <w:t>昼间8h</w:t>
                  </w:r>
                </w:p>
              </w:tc>
            </w:tr>
            <w:tr w14:paraId="143CBD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l2br w:val="nil"/>
                    <w:tr2bl w:val="nil"/>
                  </w:tcBorders>
                  <w:vAlign w:val="center"/>
                </w:tcPr>
                <w:p w14:paraId="087C8B6A">
                  <w:pPr>
                    <w:pStyle w:val="33"/>
                    <w:rPr>
                      <w:color w:val="auto"/>
                    </w:rPr>
                  </w:pPr>
                  <w:r>
                    <w:rPr>
                      <w:rFonts w:hint="eastAsia"/>
                      <w:color w:val="auto"/>
                    </w:rPr>
                    <w:t>5</w:t>
                  </w:r>
                </w:p>
              </w:tc>
              <w:tc>
                <w:tcPr>
                  <w:tcW w:w="731" w:type="dxa"/>
                  <w:tcBorders>
                    <w:tl2br w:val="nil"/>
                    <w:tr2bl w:val="nil"/>
                  </w:tcBorders>
                  <w:vAlign w:val="center"/>
                </w:tcPr>
                <w:p w14:paraId="2CFD1BCE">
                  <w:pPr>
                    <w:pStyle w:val="33"/>
                    <w:rPr>
                      <w:color w:val="auto"/>
                    </w:rPr>
                  </w:pPr>
                  <w:r>
                    <w:rPr>
                      <w:rFonts w:hint="eastAsia"/>
                      <w:color w:val="auto"/>
                    </w:rPr>
                    <w:t>制粒烘干区</w:t>
                  </w:r>
                </w:p>
              </w:tc>
              <w:tc>
                <w:tcPr>
                  <w:tcW w:w="786" w:type="dxa"/>
                  <w:tcBorders>
                    <w:tl2br w:val="nil"/>
                    <w:tr2bl w:val="nil"/>
                  </w:tcBorders>
                  <w:vAlign w:val="center"/>
                </w:tcPr>
                <w:p w14:paraId="05206D74">
                  <w:pPr>
                    <w:pStyle w:val="33"/>
                    <w:rPr>
                      <w:color w:val="auto"/>
                    </w:rPr>
                  </w:pPr>
                  <w:r>
                    <w:rPr>
                      <w:rFonts w:hint="eastAsia"/>
                      <w:color w:val="auto"/>
                    </w:rPr>
                    <w:t>制粒机</w:t>
                  </w:r>
                </w:p>
              </w:tc>
              <w:tc>
                <w:tcPr>
                  <w:tcW w:w="641" w:type="dxa"/>
                  <w:tcBorders>
                    <w:tl2br w:val="nil"/>
                    <w:tr2bl w:val="nil"/>
                  </w:tcBorders>
                  <w:vAlign w:val="center"/>
                </w:tcPr>
                <w:p w14:paraId="4813B6C9">
                  <w:pPr>
                    <w:pStyle w:val="33"/>
                    <w:rPr>
                      <w:color w:val="auto"/>
                    </w:rPr>
                  </w:pPr>
                  <w:r>
                    <w:rPr>
                      <w:rFonts w:hint="eastAsia"/>
                      <w:color w:val="auto"/>
                    </w:rPr>
                    <w:t>1台</w:t>
                  </w:r>
                </w:p>
              </w:tc>
              <w:tc>
                <w:tcPr>
                  <w:tcW w:w="834" w:type="dxa"/>
                  <w:tcBorders>
                    <w:tl2br w:val="nil"/>
                    <w:tr2bl w:val="nil"/>
                  </w:tcBorders>
                  <w:vAlign w:val="center"/>
                </w:tcPr>
                <w:p w14:paraId="375806FA">
                  <w:pPr>
                    <w:pStyle w:val="33"/>
                    <w:rPr>
                      <w:color w:val="auto"/>
                    </w:rPr>
                  </w:pPr>
                  <w:r>
                    <w:rPr>
                      <w:rFonts w:hint="eastAsia"/>
                      <w:color w:val="auto"/>
                    </w:rPr>
                    <w:t>80</w:t>
                  </w:r>
                </w:p>
              </w:tc>
              <w:tc>
                <w:tcPr>
                  <w:tcW w:w="741" w:type="dxa"/>
                  <w:tcBorders>
                    <w:tl2br w:val="nil"/>
                    <w:tr2bl w:val="nil"/>
                  </w:tcBorders>
                  <w:vAlign w:val="center"/>
                </w:tcPr>
                <w:p w14:paraId="47106303">
                  <w:pPr>
                    <w:pStyle w:val="33"/>
                    <w:rPr>
                      <w:color w:val="auto"/>
                    </w:rPr>
                  </w:pPr>
                  <w:r>
                    <w:rPr>
                      <w:rFonts w:hint="eastAsia"/>
                      <w:color w:val="auto"/>
                    </w:rPr>
                    <w:t>14,88,1.2</w:t>
                  </w:r>
                </w:p>
              </w:tc>
              <w:tc>
                <w:tcPr>
                  <w:tcW w:w="720" w:type="dxa"/>
                  <w:tcBorders>
                    <w:tl2br w:val="nil"/>
                    <w:tr2bl w:val="nil"/>
                  </w:tcBorders>
                  <w:vAlign w:val="center"/>
                </w:tcPr>
                <w:p w14:paraId="5AB33AC9">
                  <w:pPr>
                    <w:pStyle w:val="33"/>
                    <w:rPr>
                      <w:color w:val="auto"/>
                    </w:rPr>
                  </w:pPr>
                  <w:r>
                    <w:rPr>
                      <w:rFonts w:hint="eastAsia"/>
                      <w:color w:val="auto"/>
                    </w:rPr>
                    <w:t>8.5</w:t>
                  </w:r>
                </w:p>
              </w:tc>
              <w:tc>
                <w:tcPr>
                  <w:tcW w:w="788" w:type="dxa"/>
                  <w:tcBorders>
                    <w:tl2br w:val="nil"/>
                    <w:tr2bl w:val="nil"/>
                  </w:tcBorders>
                  <w:vAlign w:val="center"/>
                </w:tcPr>
                <w:p w14:paraId="28E322EA">
                  <w:pPr>
                    <w:pStyle w:val="33"/>
                    <w:rPr>
                      <w:color w:val="auto"/>
                    </w:rPr>
                  </w:pPr>
                  <w:r>
                    <w:rPr>
                      <w:rFonts w:hint="eastAsia"/>
                      <w:color w:val="auto"/>
                    </w:rPr>
                    <w:t>61.4</w:t>
                  </w:r>
                </w:p>
              </w:tc>
              <w:tc>
                <w:tcPr>
                  <w:tcW w:w="788" w:type="dxa"/>
                  <w:tcBorders>
                    <w:tl2br w:val="nil"/>
                    <w:tr2bl w:val="nil"/>
                  </w:tcBorders>
                  <w:vAlign w:val="center"/>
                </w:tcPr>
                <w:p w14:paraId="2CBF2215">
                  <w:pPr>
                    <w:pStyle w:val="33"/>
                    <w:rPr>
                      <w:color w:val="auto"/>
                    </w:rPr>
                  </w:pPr>
                  <w:r>
                    <w:rPr>
                      <w:color w:val="auto"/>
                    </w:rPr>
                    <w:t>18</w:t>
                  </w:r>
                </w:p>
              </w:tc>
              <w:tc>
                <w:tcPr>
                  <w:tcW w:w="788" w:type="dxa"/>
                  <w:tcBorders>
                    <w:tl2br w:val="nil"/>
                    <w:tr2bl w:val="nil"/>
                  </w:tcBorders>
                  <w:vAlign w:val="center"/>
                </w:tcPr>
                <w:p w14:paraId="3B8B4683">
                  <w:pPr>
                    <w:pStyle w:val="33"/>
                    <w:rPr>
                      <w:color w:val="auto"/>
                    </w:rPr>
                  </w:pPr>
                  <w:r>
                    <w:rPr>
                      <w:rFonts w:hint="eastAsia"/>
                      <w:color w:val="auto"/>
                    </w:rPr>
                    <w:t>43.4</w:t>
                  </w:r>
                </w:p>
              </w:tc>
              <w:tc>
                <w:tcPr>
                  <w:tcW w:w="702" w:type="dxa"/>
                  <w:tcBorders>
                    <w:tl2br w:val="nil"/>
                    <w:tr2bl w:val="nil"/>
                  </w:tcBorders>
                  <w:vAlign w:val="center"/>
                </w:tcPr>
                <w:p w14:paraId="691CE2FC">
                  <w:pPr>
                    <w:pStyle w:val="33"/>
                    <w:rPr>
                      <w:color w:val="auto"/>
                    </w:rPr>
                  </w:pPr>
                  <w:r>
                    <w:rPr>
                      <w:rFonts w:hint="eastAsia"/>
                      <w:color w:val="auto"/>
                    </w:rPr>
                    <w:t>昼间8h</w:t>
                  </w:r>
                </w:p>
              </w:tc>
            </w:tr>
            <w:tr w14:paraId="326210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l2br w:val="nil"/>
                    <w:tr2bl w:val="nil"/>
                  </w:tcBorders>
                  <w:vAlign w:val="center"/>
                </w:tcPr>
                <w:p w14:paraId="794877A4">
                  <w:pPr>
                    <w:pStyle w:val="33"/>
                    <w:rPr>
                      <w:color w:val="auto"/>
                    </w:rPr>
                  </w:pPr>
                  <w:r>
                    <w:rPr>
                      <w:rFonts w:hint="eastAsia"/>
                      <w:color w:val="auto"/>
                    </w:rPr>
                    <w:t>6</w:t>
                  </w:r>
                </w:p>
              </w:tc>
              <w:tc>
                <w:tcPr>
                  <w:tcW w:w="731" w:type="dxa"/>
                  <w:tcBorders>
                    <w:tl2br w:val="nil"/>
                    <w:tr2bl w:val="nil"/>
                  </w:tcBorders>
                  <w:vAlign w:val="center"/>
                </w:tcPr>
                <w:p w14:paraId="6C22C94F">
                  <w:pPr>
                    <w:pStyle w:val="33"/>
                    <w:rPr>
                      <w:color w:val="auto"/>
                    </w:rPr>
                  </w:pPr>
                  <w:r>
                    <w:rPr>
                      <w:rFonts w:hint="eastAsia"/>
                      <w:color w:val="auto"/>
                    </w:rPr>
                    <w:t>制粒烘干区</w:t>
                  </w:r>
                </w:p>
              </w:tc>
              <w:tc>
                <w:tcPr>
                  <w:tcW w:w="786" w:type="dxa"/>
                  <w:tcBorders>
                    <w:tl2br w:val="nil"/>
                    <w:tr2bl w:val="nil"/>
                  </w:tcBorders>
                  <w:vAlign w:val="center"/>
                </w:tcPr>
                <w:p w14:paraId="0D91C9EC">
                  <w:pPr>
                    <w:pStyle w:val="33"/>
                    <w:rPr>
                      <w:color w:val="auto"/>
                    </w:rPr>
                  </w:pPr>
                  <w:r>
                    <w:rPr>
                      <w:rFonts w:hint="eastAsia"/>
                      <w:color w:val="auto"/>
                    </w:rPr>
                    <w:t>烘干机</w:t>
                  </w:r>
                </w:p>
              </w:tc>
              <w:tc>
                <w:tcPr>
                  <w:tcW w:w="641" w:type="dxa"/>
                  <w:tcBorders>
                    <w:tl2br w:val="nil"/>
                    <w:tr2bl w:val="nil"/>
                  </w:tcBorders>
                  <w:vAlign w:val="center"/>
                </w:tcPr>
                <w:p w14:paraId="2CFC1DB4">
                  <w:pPr>
                    <w:pStyle w:val="33"/>
                    <w:rPr>
                      <w:color w:val="auto"/>
                    </w:rPr>
                  </w:pPr>
                  <w:r>
                    <w:rPr>
                      <w:rFonts w:hint="eastAsia"/>
                      <w:color w:val="auto"/>
                    </w:rPr>
                    <w:t>1台</w:t>
                  </w:r>
                </w:p>
              </w:tc>
              <w:tc>
                <w:tcPr>
                  <w:tcW w:w="834" w:type="dxa"/>
                  <w:tcBorders>
                    <w:tl2br w:val="nil"/>
                    <w:tr2bl w:val="nil"/>
                  </w:tcBorders>
                  <w:vAlign w:val="center"/>
                </w:tcPr>
                <w:p w14:paraId="5F0C5A5B">
                  <w:pPr>
                    <w:pStyle w:val="33"/>
                    <w:rPr>
                      <w:color w:val="auto"/>
                    </w:rPr>
                  </w:pPr>
                  <w:r>
                    <w:rPr>
                      <w:rFonts w:hint="eastAsia"/>
                      <w:color w:val="auto"/>
                    </w:rPr>
                    <w:t>75</w:t>
                  </w:r>
                </w:p>
              </w:tc>
              <w:tc>
                <w:tcPr>
                  <w:tcW w:w="741" w:type="dxa"/>
                  <w:tcBorders>
                    <w:tl2br w:val="nil"/>
                    <w:tr2bl w:val="nil"/>
                  </w:tcBorders>
                  <w:vAlign w:val="center"/>
                </w:tcPr>
                <w:p w14:paraId="77F33856">
                  <w:pPr>
                    <w:pStyle w:val="33"/>
                    <w:rPr>
                      <w:color w:val="auto"/>
                    </w:rPr>
                  </w:pPr>
                  <w:r>
                    <w:rPr>
                      <w:rFonts w:hint="eastAsia"/>
                      <w:color w:val="auto"/>
                    </w:rPr>
                    <w:t>12,86,1.2</w:t>
                  </w:r>
                </w:p>
              </w:tc>
              <w:tc>
                <w:tcPr>
                  <w:tcW w:w="720" w:type="dxa"/>
                  <w:tcBorders>
                    <w:tl2br w:val="nil"/>
                    <w:tr2bl w:val="nil"/>
                  </w:tcBorders>
                  <w:vAlign w:val="center"/>
                </w:tcPr>
                <w:p w14:paraId="48C52EEE">
                  <w:pPr>
                    <w:pStyle w:val="33"/>
                    <w:rPr>
                      <w:color w:val="auto"/>
                    </w:rPr>
                  </w:pPr>
                  <w:r>
                    <w:rPr>
                      <w:rFonts w:hint="eastAsia"/>
                      <w:color w:val="auto"/>
                    </w:rPr>
                    <w:t>10.5</w:t>
                  </w:r>
                </w:p>
              </w:tc>
              <w:tc>
                <w:tcPr>
                  <w:tcW w:w="788" w:type="dxa"/>
                  <w:tcBorders>
                    <w:tl2br w:val="nil"/>
                    <w:tr2bl w:val="nil"/>
                  </w:tcBorders>
                  <w:vAlign w:val="center"/>
                </w:tcPr>
                <w:p w14:paraId="4FA64BAF">
                  <w:pPr>
                    <w:pStyle w:val="33"/>
                    <w:rPr>
                      <w:color w:val="auto"/>
                    </w:rPr>
                  </w:pPr>
                  <w:r>
                    <w:rPr>
                      <w:rFonts w:hint="eastAsia"/>
                      <w:color w:val="auto"/>
                    </w:rPr>
                    <w:t>54.6</w:t>
                  </w:r>
                </w:p>
              </w:tc>
              <w:tc>
                <w:tcPr>
                  <w:tcW w:w="788" w:type="dxa"/>
                  <w:tcBorders>
                    <w:tl2br w:val="nil"/>
                    <w:tr2bl w:val="nil"/>
                  </w:tcBorders>
                  <w:vAlign w:val="center"/>
                </w:tcPr>
                <w:p w14:paraId="39B24FA4">
                  <w:pPr>
                    <w:pStyle w:val="33"/>
                    <w:rPr>
                      <w:color w:val="auto"/>
                    </w:rPr>
                  </w:pPr>
                  <w:r>
                    <w:rPr>
                      <w:color w:val="auto"/>
                    </w:rPr>
                    <w:t>18</w:t>
                  </w:r>
                </w:p>
              </w:tc>
              <w:tc>
                <w:tcPr>
                  <w:tcW w:w="788" w:type="dxa"/>
                  <w:tcBorders>
                    <w:tl2br w:val="nil"/>
                    <w:tr2bl w:val="nil"/>
                  </w:tcBorders>
                  <w:vAlign w:val="center"/>
                </w:tcPr>
                <w:p w14:paraId="08A622F8">
                  <w:pPr>
                    <w:pStyle w:val="33"/>
                    <w:rPr>
                      <w:color w:val="auto"/>
                    </w:rPr>
                  </w:pPr>
                  <w:r>
                    <w:rPr>
                      <w:rFonts w:hint="eastAsia"/>
                      <w:color w:val="auto"/>
                    </w:rPr>
                    <w:t>36.6</w:t>
                  </w:r>
                </w:p>
              </w:tc>
              <w:tc>
                <w:tcPr>
                  <w:tcW w:w="702" w:type="dxa"/>
                  <w:tcBorders>
                    <w:tl2br w:val="nil"/>
                    <w:tr2bl w:val="nil"/>
                  </w:tcBorders>
                  <w:vAlign w:val="center"/>
                </w:tcPr>
                <w:p w14:paraId="68983625">
                  <w:pPr>
                    <w:pStyle w:val="33"/>
                    <w:rPr>
                      <w:color w:val="auto"/>
                    </w:rPr>
                  </w:pPr>
                  <w:r>
                    <w:rPr>
                      <w:rFonts w:hint="eastAsia"/>
                      <w:color w:val="auto"/>
                    </w:rPr>
                    <w:t>昼间8h</w:t>
                  </w:r>
                </w:p>
              </w:tc>
            </w:tr>
            <w:tr w14:paraId="1A883D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l2br w:val="nil"/>
                    <w:tr2bl w:val="nil"/>
                  </w:tcBorders>
                  <w:vAlign w:val="center"/>
                </w:tcPr>
                <w:p w14:paraId="77131C95">
                  <w:pPr>
                    <w:pStyle w:val="33"/>
                    <w:rPr>
                      <w:color w:val="auto"/>
                    </w:rPr>
                  </w:pPr>
                  <w:r>
                    <w:rPr>
                      <w:rFonts w:hint="eastAsia"/>
                      <w:color w:val="auto"/>
                    </w:rPr>
                    <w:t>7</w:t>
                  </w:r>
                </w:p>
              </w:tc>
              <w:tc>
                <w:tcPr>
                  <w:tcW w:w="731" w:type="dxa"/>
                  <w:tcBorders>
                    <w:tl2br w:val="nil"/>
                    <w:tr2bl w:val="nil"/>
                  </w:tcBorders>
                  <w:vAlign w:val="center"/>
                </w:tcPr>
                <w:p w14:paraId="333C6D9A">
                  <w:pPr>
                    <w:pStyle w:val="33"/>
                    <w:rPr>
                      <w:color w:val="auto"/>
                    </w:rPr>
                  </w:pPr>
                  <w:r>
                    <w:rPr>
                      <w:rFonts w:hint="eastAsia"/>
                      <w:color w:val="auto"/>
                    </w:rPr>
                    <w:t>内包装间</w:t>
                  </w:r>
                </w:p>
              </w:tc>
              <w:tc>
                <w:tcPr>
                  <w:tcW w:w="786" w:type="dxa"/>
                  <w:tcBorders>
                    <w:tl2br w:val="nil"/>
                    <w:tr2bl w:val="nil"/>
                  </w:tcBorders>
                  <w:vAlign w:val="center"/>
                </w:tcPr>
                <w:p w14:paraId="30456EF5">
                  <w:pPr>
                    <w:pStyle w:val="33"/>
                    <w:rPr>
                      <w:color w:val="auto"/>
                    </w:rPr>
                  </w:pPr>
                  <w:r>
                    <w:rPr>
                      <w:rFonts w:hint="eastAsia"/>
                      <w:color w:val="auto"/>
                    </w:rPr>
                    <w:t>全自动包装机</w:t>
                  </w:r>
                </w:p>
              </w:tc>
              <w:tc>
                <w:tcPr>
                  <w:tcW w:w="641" w:type="dxa"/>
                  <w:tcBorders>
                    <w:tl2br w:val="nil"/>
                    <w:tr2bl w:val="nil"/>
                  </w:tcBorders>
                  <w:vAlign w:val="center"/>
                </w:tcPr>
                <w:p w14:paraId="72BE87D0">
                  <w:pPr>
                    <w:pStyle w:val="33"/>
                    <w:rPr>
                      <w:color w:val="auto"/>
                    </w:rPr>
                  </w:pPr>
                  <w:r>
                    <w:rPr>
                      <w:rFonts w:hint="eastAsia"/>
                      <w:color w:val="auto"/>
                    </w:rPr>
                    <w:t>2台</w:t>
                  </w:r>
                </w:p>
              </w:tc>
              <w:tc>
                <w:tcPr>
                  <w:tcW w:w="834" w:type="dxa"/>
                  <w:tcBorders>
                    <w:tl2br w:val="nil"/>
                    <w:tr2bl w:val="nil"/>
                  </w:tcBorders>
                  <w:vAlign w:val="center"/>
                </w:tcPr>
                <w:p w14:paraId="126D3C76">
                  <w:pPr>
                    <w:pStyle w:val="33"/>
                    <w:rPr>
                      <w:color w:val="auto"/>
                    </w:rPr>
                  </w:pPr>
                  <w:r>
                    <w:rPr>
                      <w:rFonts w:hint="eastAsia"/>
                      <w:color w:val="auto"/>
                    </w:rPr>
                    <w:t>75</w:t>
                  </w:r>
                </w:p>
              </w:tc>
              <w:tc>
                <w:tcPr>
                  <w:tcW w:w="741" w:type="dxa"/>
                  <w:tcBorders>
                    <w:tl2br w:val="nil"/>
                    <w:tr2bl w:val="nil"/>
                  </w:tcBorders>
                  <w:vAlign w:val="center"/>
                </w:tcPr>
                <w:p w14:paraId="03B54520">
                  <w:pPr>
                    <w:pStyle w:val="33"/>
                    <w:rPr>
                      <w:color w:val="auto"/>
                    </w:rPr>
                  </w:pPr>
                  <w:r>
                    <w:rPr>
                      <w:rFonts w:hint="eastAsia"/>
                      <w:color w:val="auto"/>
                    </w:rPr>
                    <w:t>18,34,1.2</w:t>
                  </w:r>
                </w:p>
              </w:tc>
              <w:tc>
                <w:tcPr>
                  <w:tcW w:w="720" w:type="dxa"/>
                  <w:tcBorders>
                    <w:tl2br w:val="nil"/>
                    <w:tr2bl w:val="nil"/>
                  </w:tcBorders>
                  <w:vAlign w:val="center"/>
                </w:tcPr>
                <w:p w14:paraId="5C299053">
                  <w:pPr>
                    <w:pStyle w:val="33"/>
                    <w:rPr>
                      <w:color w:val="auto"/>
                    </w:rPr>
                  </w:pPr>
                  <w:r>
                    <w:rPr>
                      <w:rFonts w:hint="eastAsia"/>
                      <w:color w:val="auto"/>
                    </w:rPr>
                    <w:t>4.5</w:t>
                  </w:r>
                </w:p>
              </w:tc>
              <w:tc>
                <w:tcPr>
                  <w:tcW w:w="788" w:type="dxa"/>
                  <w:tcBorders>
                    <w:tl2br w:val="nil"/>
                    <w:tr2bl w:val="nil"/>
                  </w:tcBorders>
                  <w:vAlign w:val="center"/>
                </w:tcPr>
                <w:p w14:paraId="4192A6BB">
                  <w:pPr>
                    <w:pStyle w:val="33"/>
                    <w:rPr>
                      <w:color w:val="auto"/>
                    </w:rPr>
                  </w:pPr>
                  <w:r>
                    <w:rPr>
                      <w:rFonts w:hint="eastAsia"/>
                      <w:color w:val="auto"/>
                    </w:rPr>
                    <w:t>65.9</w:t>
                  </w:r>
                </w:p>
              </w:tc>
              <w:tc>
                <w:tcPr>
                  <w:tcW w:w="788" w:type="dxa"/>
                  <w:tcBorders>
                    <w:tl2br w:val="nil"/>
                    <w:tr2bl w:val="nil"/>
                  </w:tcBorders>
                  <w:vAlign w:val="center"/>
                </w:tcPr>
                <w:p w14:paraId="321320F6">
                  <w:pPr>
                    <w:pStyle w:val="33"/>
                    <w:rPr>
                      <w:color w:val="auto"/>
                    </w:rPr>
                  </w:pPr>
                  <w:r>
                    <w:rPr>
                      <w:color w:val="auto"/>
                    </w:rPr>
                    <w:t>18</w:t>
                  </w:r>
                </w:p>
              </w:tc>
              <w:tc>
                <w:tcPr>
                  <w:tcW w:w="788" w:type="dxa"/>
                  <w:tcBorders>
                    <w:tl2br w:val="nil"/>
                    <w:tr2bl w:val="nil"/>
                  </w:tcBorders>
                  <w:vAlign w:val="center"/>
                </w:tcPr>
                <w:p w14:paraId="22E44CB8">
                  <w:pPr>
                    <w:pStyle w:val="33"/>
                    <w:rPr>
                      <w:color w:val="auto"/>
                    </w:rPr>
                  </w:pPr>
                  <w:r>
                    <w:rPr>
                      <w:rFonts w:hint="eastAsia"/>
                      <w:color w:val="auto"/>
                    </w:rPr>
                    <w:t>46.9</w:t>
                  </w:r>
                </w:p>
              </w:tc>
              <w:tc>
                <w:tcPr>
                  <w:tcW w:w="702" w:type="dxa"/>
                  <w:tcBorders>
                    <w:tl2br w:val="nil"/>
                    <w:tr2bl w:val="nil"/>
                  </w:tcBorders>
                  <w:vAlign w:val="center"/>
                </w:tcPr>
                <w:p w14:paraId="2B5FF008">
                  <w:pPr>
                    <w:pStyle w:val="33"/>
                    <w:rPr>
                      <w:color w:val="auto"/>
                    </w:rPr>
                  </w:pPr>
                  <w:r>
                    <w:rPr>
                      <w:rFonts w:hint="eastAsia"/>
                      <w:color w:val="auto"/>
                    </w:rPr>
                    <w:t>昼间8h</w:t>
                  </w:r>
                </w:p>
              </w:tc>
            </w:tr>
            <w:tr w14:paraId="2A767D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l2br w:val="nil"/>
                    <w:tr2bl w:val="nil"/>
                  </w:tcBorders>
                  <w:vAlign w:val="center"/>
                </w:tcPr>
                <w:p w14:paraId="77B77B3F">
                  <w:pPr>
                    <w:pStyle w:val="33"/>
                    <w:rPr>
                      <w:color w:val="auto"/>
                    </w:rPr>
                  </w:pPr>
                  <w:r>
                    <w:rPr>
                      <w:rFonts w:hint="eastAsia"/>
                      <w:color w:val="auto"/>
                    </w:rPr>
                    <w:t>8</w:t>
                  </w:r>
                </w:p>
              </w:tc>
              <w:tc>
                <w:tcPr>
                  <w:tcW w:w="731" w:type="dxa"/>
                  <w:tcBorders>
                    <w:tl2br w:val="nil"/>
                    <w:tr2bl w:val="nil"/>
                  </w:tcBorders>
                  <w:vAlign w:val="center"/>
                </w:tcPr>
                <w:p w14:paraId="55000C4F">
                  <w:pPr>
                    <w:pStyle w:val="33"/>
                    <w:rPr>
                      <w:color w:val="auto"/>
                    </w:rPr>
                  </w:pPr>
                  <w:r>
                    <w:rPr>
                      <w:rFonts w:hint="eastAsia"/>
                      <w:color w:val="auto"/>
                    </w:rPr>
                    <w:t>内包装间</w:t>
                  </w:r>
                </w:p>
              </w:tc>
              <w:tc>
                <w:tcPr>
                  <w:tcW w:w="786" w:type="dxa"/>
                  <w:tcBorders>
                    <w:tl2br w:val="nil"/>
                    <w:tr2bl w:val="nil"/>
                  </w:tcBorders>
                  <w:vAlign w:val="center"/>
                </w:tcPr>
                <w:p w14:paraId="7DE5063E">
                  <w:pPr>
                    <w:pStyle w:val="33"/>
                    <w:rPr>
                      <w:color w:val="auto"/>
                    </w:rPr>
                  </w:pPr>
                  <w:r>
                    <w:rPr>
                      <w:rFonts w:hint="eastAsia"/>
                      <w:color w:val="auto"/>
                    </w:rPr>
                    <w:t>气动灌装机、瓶盖机</w:t>
                  </w:r>
                </w:p>
              </w:tc>
              <w:tc>
                <w:tcPr>
                  <w:tcW w:w="641" w:type="dxa"/>
                  <w:tcBorders>
                    <w:tl2br w:val="nil"/>
                    <w:tr2bl w:val="nil"/>
                  </w:tcBorders>
                  <w:vAlign w:val="center"/>
                </w:tcPr>
                <w:p w14:paraId="562D66AB">
                  <w:pPr>
                    <w:pStyle w:val="33"/>
                    <w:rPr>
                      <w:color w:val="auto"/>
                    </w:rPr>
                  </w:pPr>
                  <w:r>
                    <w:rPr>
                      <w:rFonts w:hint="eastAsia"/>
                      <w:color w:val="auto"/>
                    </w:rPr>
                    <w:t>各1台</w:t>
                  </w:r>
                </w:p>
              </w:tc>
              <w:tc>
                <w:tcPr>
                  <w:tcW w:w="834" w:type="dxa"/>
                  <w:tcBorders>
                    <w:tl2br w:val="nil"/>
                    <w:tr2bl w:val="nil"/>
                  </w:tcBorders>
                  <w:vAlign w:val="center"/>
                </w:tcPr>
                <w:p w14:paraId="26C88890">
                  <w:pPr>
                    <w:pStyle w:val="33"/>
                    <w:rPr>
                      <w:color w:val="auto"/>
                    </w:rPr>
                  </w:pPr>
                  <w:r>
                    <w:rPr>
                      <w:rFonts w:hint="eastAsia"/>
                      <w:color w:val="auto"/>
                    </w:rPr>
                    <w:t>70</w:t>
                  </w:r>
                </w:p>
              </w:tc>
              <w:tc>
                <w:tcPr>
                  <w:tcW w:w="741" w:type="dxa"/>
                  <w:tcBorders>
                    <w:tl2br w:val="nil"/>
                    <w:tr2bl w:val="nil"/>
                  </w:tcBorders>
                  <w:vAlign w:val="center"/>
                </w:tcPr>
                <w:p w14:paraId="762BB900">
                  <w:pPr>
                    <w:pStyle w:val="33"/>
                    <w:rPr>
                      <w:color w:val="auto"/>
                    </w:rPr>
                  </w:pPr>
                  <w:r>
                    <w:rPr>
                      <w:rFonts w:hint="eastAsia"/>
                      <w:color w:val="auto"/>
                    </w:rPr>
                    <w:t>16，51,1.2</w:t>
                  </w:r>
                </w:p>
              </w:tc>
              <w:tc>
                <w:tcPr>
                  <w:tcW w:w="720" w:type="dxa"/>
                  <w:tcBorders>
                    <w:tl2br w:val="nil"/>
                    <w:tr2bl w:val="nil"/>
                  </w:tcBorders>
                  <w:vAlign w:val="center"/>
                </w:tcPr>
                <w:p w14:paraId="06653A27">
                  <w:pPr>
                    <w:pStyle w:val="33"/>
                    <w:rPr>
                      <w:color w:val="auto"/>
                    </w:rPr>
                  </w:pPr>
                  <w:r>
                    <w:rPr>
                      <w:rFonts w:hint="eastAsia"/>
                      <w:color w:val="auto"/>
                    </w:rPr>
                    <w:t>6.5</w:t>
                  </w:r>
                </w:p>
              </w:tc>
              <w:tc>
                <w:tcPr>
                  <w:tcW w:w="788" w:type="dxa"/>
                  <w:tcBorders>
                    <w:tl2br w:val="nil"/>
                    <w:tr2bl w:val="nil"/>
                  </w:tcBorders>
                  <w:vAlign w:val="center"/>
                </w:tcPr>
                <w:p w14:paraId="74749519">
                  <w:pPr>
                    <w:pStyle w:val="33"/>
                    <w:rPr>
                      <w:color w:val="auto"/>
                    </w:rPr>
                  </w:pPr>
                  <w:r>
                    <w:rPr>
                      <w:rFonts w:hint="eastAsia"/>
                      <w:color w:val="auto"/>
                    </w:rPr>
                    <w:t>56.8</w:t>
                  </w:r>
                </w:p>
              </w:tc>
              <w:tc>
                <w:tcPr>
                  <w:tcW w:w="788" w:type="dxa"/>
                  <w:tcBorders>
                    <w:tl2br w:val="nil"/>
                    <w:tr2bl w:val="nil"/>
                  </w:tcBorders>
                  <w:vAlign w:val="center"/>
                </w:tcPr>
                <w:p w14:paraId="3788E35B">
                  <w:pPr>
                    <w:pStyle w:val="33"/>
                    <w:rPr>
                      <w:color w:val="auto"/>
                    </w:rPr>
                  </w:pPr>
                  <w:r>
                    <w:rPr>
                      <w:color w:val="auto"/>
                    </w:rPr>
                    <w:t>18</w:t>
                  </w:r>
                </w:p>
              </w:tc>
              <w:tc>
                <w:tcPr>
                  <w:tcW w:w="788" w:type="dxa"/>
                  <w:tcBorders>
                    <w:tl2br w:val="nil"/>
                    <w:tr2bl w:val="nil"/>
                  </w:tcBorders>
                  <w:vAlign w:val="center"/>
                </w:tcPr>
                <w:p w14:paraId="1986FCE4">
                  <w:pPr>
                    <w:pStyle w:val="33"/>
                    <w:rPr>
                      <w:color w:val="auto"/>
                    </w:rPr>
                  </w:pPr>
                  <w:r>
                    <w:rPr>
                      <w:rFonts w:hint="eastAsia"/>
                      <w:color w:val="auto"/>
                    </w:rPr>
                    <w:t>38.8</w:t>
                  </w:r>
                </w:p>
              </w:tc>
              <w:tc>
                <w:tcPr>
                  <w:tcW w:w="702" w:type="dxa"/>
                  <w:tcBorders>
                    <w:tl2br w:val="nil"/>
                    <w:tr2bl w:val="nil"/>
                  </w:tcBorders>
                  <w:vAlign w:val="center"/>
                </w:tcPr>
                <w:p w14:paraId="6AA080B5">
                  <w:pPr>
                    <w:pStyle w:val="33"/>
                    <w:rPr>
                      <w:color w:val="auto"/>
                    </w:rPr>
                  </w:pPr>
                  <w:r>
                    <w:rPr>
                      <w:rFonts w:hint="eastAsia"/>
                      <w:color w:val="auto"/>
                    </w:rPr>
                    <w:t>昼间8h</w:t>
                  </w:r>
                </w:p>
              </w:tc>
            </w:tr>
            <w:tr w14:paraId="0AD200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l2br w:val="nil"/>
                    <w:tr2bl w:val="nil"/>
                  </w:tcBorders>
                  <w:vAlign w:val="center"/>
                </w:tcPr>
                <w:p w14:paraId="1EB3476D">
                  <w:pPr>
                    <w:pStyle w:val="33"/>
                    <w:rPr>
                      <w:color w:val="auto"/>
                    </w:rPr>
                  </w:pPr>
                  <w:r>
                    <w:rPr>
                      <w:rFonts w:hint="eastAsia"/>
                      <w:color w:val="auto"/>
                    </w:rPr>
                    <w:t>9</w:t>
                  </w:r>
                </w:p>
              </w:tc>
              <w:tc>
                <w:tcPr>
                  <w:tcW w:w="731" w:type="dxa"/>
                  <w:tcBorders>
                    <w:tl2br w:val="nil"/>
                    <w:tr2bl w:val="nil"/>
                  </w:tcBorders>
                  <w:vAlign w:val="center"/>
                </w:tcPr>
                <w:p w14:paraId="5EC7EBC0">
                  <w:pPr>
                    <w:pStyle w:val="33"/>
                    <w:rPr>
                      <w:color w:val="auto"/>
                    </w:rPr>
                  </w:pPr>
                  <w:r>
                    <w:rPr>
                      <w:rFonts w:hint="eastAsia"/>
                      <w:color w:val="auto"/>
                    </w:rPr>
                    <w:t>洗瓶间</w:t>
                  </w:r>
                </w:p>
              </w:tc>
              <w:tc>
                <w:tcPr>
                  <w:tcW w:w="786" w:type="dxa"/>
                  <w:tcBorders>
                    <w:tl2br w:val="nil"/>
                    <w:tr2bl w:val="nil"/>
                  </w:tcBorders>
                  <w:vAlign w:val="center"/>
                </w:tcPr>
                <w:p w14:paraId="36AC05B5">
                  <w:pPr>
                    <w:pStyle w:val="33"/>
                    <w:rPr>
                      <w:color w:val="auto"/>
                    </w:rPr>
                  </w:pPr>
                  <w:r>
                    <w:rPr>
                      <w:rFonts w:hint="eastAsia"/>
                      <w:color w:val="auto"/>
                    </w:rPr>
                    <w:t>半自动冲瓶机</w:t>
                  </w:r>
                </w:p>
              </w:tc>
              <w:tc>
                <w:tcPr>
                  <w:tcW w:w="641" w:type="dxa"/>
                  <w:tcBorders>
                    <w:tl2br w:val="nil"/>
                    <w:tr2bl w:val="nil"/>
                  </w:tcBorders>
                  <w:vAlign w:val="center"/>
                </w:tcPr>
                <w:p w14:paraId="0063CC3F">
                  <w:pPr>
                    <w:pStyle w:val="33"/>
                    <w:rPr>
                      <w:color w:val="auto"/>
                    </w:rPr>
                  </w:pPr>
                  <w:r>
                    <w:rPr>
                      <w:rFonts w:hint="eastAsia"/>
                      <w:color w:val="auto"/>
                    </w:rPr>
                    <w:t>1台</w:t>
                  </w:r>
                </w:p>
              </w:tc>
              <w:tc>
                <w:tcPr>
                  <w:tcW w:w="834" w:type="dxa"/>
                  <w:tcBorders>
                    <w:tl2br w:val="nil"/>
                    <w:tr2bl w:val="nil"/>
                  </w:tcBorders>
                  <w:vAlign w:val="center"/>
                </w:tcPr>
                <w:p w14:paraId="0F9F380C">
                  <w:pPr>
                    <w:pStyle w:val="33"/>
                    <w:rPr>
                      <w:color w:val="auto"/>
                    </w:rPr>
                  </w:pPr>
                  <w:r>
                    <w:rPr>
                      <w:rFonts w:hint="eastAsia"/>
                      <w:color w:val="auto"/>
                    </w:rPr>
                    <w:t>70</w:t>
                  </w:r>
                </w:p>
              </w:tc>
              <w:tc>
                <w:tcPr>
                  <w:tcW w:w="741" w:type="dxa"/>
                  <w:tcBorders>
                    <w:tl2br w:val="nil"/>
                    <w:tr2bl w:val="nil"/>
                  </w:tcBorders>
                  <w:vAlign w:val="center"/>
                </w:tcPr>
                <w:p w14:paraId="6A35EFD0">
                  <w:pPr>
                    <w:pStyle w:val="33"/>
                    <w:rPr>
                      <w:color w:val="auto"/>
                    </w:rPr>
                  </w:pPr>
                  <w:r>
                    <w:rPr>
                      <w:rFonts w:hint="eastAsia"/>
                      <w:color w:val="auto"/>
                    </w:rPr>
                    <w:t>5,47,1.2</w:t>
                  </w:r>
                </w:p>
              </w:tc>
              <w:tc>
                <w:tcPr>
                  <w:tcW w:w="720" w:type="dxa"/>
                  <w:tcBorders>
                    <w:tl2br w:val="nil"/>
                    <w:tr2bl w:val="nil"/>
                  </w:tcBorders>
                  <w:vAlign w:val="center"/>
                </w:tcPr>
                <w:p w14:paraId="323DE366">
                  <w:pPr>
                    <w:pStyle w:val="33"/>
                    <w:rPr>
                      <w:color w:val="auto"/>
                    </w:rPr>
                  </w:pPr>
                  <w:r>
                    <w:rPr>
                      <w:rFonts w:hint="eastAsia"/>
                      <w:color w:val="auto"/>
                    </w:rPr>
                    <w:t>5.0</w:t>
                  </w:r>
                </w:p>
              </w:tc>
              <w:tc>
                <w:tcPr>
                  <w:tcW w:w="788" w:type="dxa"/>
                  <w:tcBorders>
                    <w:tl2br w:val="nil"/>
                    <w:tr2bl w:val="nil"/>
                  </w:tcBorders>
                  <w:vAlign w:val="center"/>
                </w:tcPr>
                <w:p w14:paraId="0B498E22">
                  <w:pPr>
                    <w:pStyle w:val="33"/>
                    <w:rPr>
                      <w:color w:val="auto"/>
                    </w:rPr>
                  </w:pPr>
                  <w:r>
                    <w:rPr>
                      <w:rFonts w:hint="eastAsia"/>
                      <w:color w:val="auto"/>
                    </w:rPr>
                    <w:t>56.0</w:t>
                  </w:r>
                </w:p>
              </w:tc>
              <w:tc>
                <w:tcPr>
                  <w:tcW w:w="788" w:type="dxa"/>
                  <w:tcBorders>
                    <w:tl2br w:val="nil"/>
                    <w:tr2bl w:val="nil"/>
                  </w:tcBorders>
                  <w:vAlign w:val="center"/>
                </w:tcPr>
                <w:p w14:paraId="1FDE6C2B">
                  <w:pPr>
                    <w:pStyle w:val="33"/>
                    <w:rPr>
                      <w:color w:val="auto"/>
                    </w:rPr>
                  </w:pPr>
                  <w:r>
                    <w:rPr>
                      <w:color w:val="auto"/>
                    </w:rPr>
                    <w:t>18</w:t>
                  </w:r>
                </w:p>
              </w:tc>
              <w:tc>
                <w:tcPr>
                  <w:tcW w:w="788" w:type="dxa"/>
                  <w:tcBorders>
                    <w:tl2br w:val="nil"/>
                    <w:tr2bl w:val="nil"/>
                  </w:tcBorders>
                  <w:vAlign w:val="center"/>
                </w:tcPr>
                <w:p w14:paraId="32E881D7">
                  <w:pPr>
                    <w:pStyle w:val="33"/>
                    <w:rPr>
                      <w:color w:val="auto"/>
                    </w:rPr>
                  </w:pPr>
                  <w:r>
                    <w:rPr>
                      <w:rFonts w:hint="eastAsia"/>
                      <w:color w:val="auto"/>
                    </w:rPr>
                    <w:t>38.0</w:t>
                  </w:r>
                </w:p>
              </w:tc>
              <w:tc>
                <w:tcPr>
                  <w:tcW w:w="702" w:type="dxa"/>
                  <w:tcBorders>
                    <w:tl2br w:val="nil"/>
                    <w:tr2bl w:val="nil"/>
                  </w:tcBorders>
                  <w:vAlign w:val="center"/>
                </w:tcPr>
                <w:p w14:paraId="1CC9F53E">
                  <w:pPr>
                    <w:pStyle w:val="33"/>
                    <w:rPr>
                      <w:color w:val="auto"/>
                    </w:rPr>
                  </w:pPr>
                  <w:r>
                    <w:rPr>
                      <w:rFonts w:hint="eastAsia"/>
                      <w:color w:val="auto"/>
                    </w:rPr>
                    <w:t>昼间8h</w:t>
                  </w:r>
                </w:p>
              </w:tc>
            </w:tr>
            <w:tr w14:paraId="530203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l2br w:val="nil"/>
                    <w:tr2bl w:val="nil"/>
                  </w:tcBorders>
                  <w:vAlign w:val="center"/>
                </w:tcPr>
                <w:p w14:paraId="357291B3">
                  <w:pPr>
                    <w:pStyle w:val="33"/>
                    <w:rPr>
                      <w:color w:val="auto"/>
                    </w:rPr>
                  </w:pPr>
                  <w:r>
                    <w:rPr>
                      <w:rFonts w:hint="eastAsia"/>
                      <w:color w:val="auto"/>
                    </w:rPr>
                    <w:t>10</w:t>
                  </w:r>
                </w:p>
              </w:tc>
              <w:tc>
                <w:tcPr>
                  <w:tcW w:w="731" w:type="dxa"/>
                  <w:tcBorders>
                    <w:tl2br w:val="nil"/>
                    <w:tr2bl w:val="nil"/>
                  </w:tcBorders>
                  <w:vAlign w:val="center"/>
                </w:tcPr>
                <w:p w14:paraId="074C475D">
                  <w:pPr>
                    <w:pStyle w:val="33"/>
                    <w:rPr>
                      <w:color w:val="auto"/>
                    </w:rPr>
                  </w:pPr>
                  <w:r>
                    <w:rPr>
                      <w:rFonts w:hint="eastAsia"/>
                      <w:color w:val="auto"/>
                    </w:rPr>
                    <w:t>熟制间</w:t>
                  </w:r>
                </w:p>
              </w:tc>
              <w:tc>
                <w:tcPr>
                  <w:tcW w:w="786" w:type="dxa"/>
                  <w:tcBorders>
                    <w:tl2br w:val="nil"/>
                    <w:tr2bl w:val="nil"/>
                  </w:tcBorders>
                  <w:vAlign w:val="center"/>
                </w:tcPr>
                <w:p w14:paraId="145A6B44">
                  <w:pPr>
                    <w:pStyle w:val="33"/>
                    <w:rPr>
                      <w:color w:val="auto"/>
                    </w:rPr>
                  </w:pPr>
                  <w:r>
                    <w:rPr>
                      <w:rFonts w:hint="eastAsia"/>
                      <w:color w:val="auto"/>
                    </w:rPr>
                    <w:t>炒锅、搅拌等设备</w:t>
                  </w:r>
                </w:p>
              </w:tc>
              <w:tc>
                <w:tcPr>
                  <w:tcW w:w="641" w:type="dxa"/>
                  <w:tcBorders>
                    <w:tl2br w:val="nil"/>
                    <w:tr2bl w:val="nil"/>
                  </w:tcBorders>
                  <w:vAlign w:val="center"/>
                </w:tcPr>
                <w:p w14:paraId="6BD1D72F">
                  <w:pPr>
                    <w:pStyle w:val="33"/>
                    <w:rPr>
                      <w:color w:val="auto"/>
                    </w:rPr>
                  </w:pPr>
                  <w:r>
                    <w:rPr>
                      <w:rFonts w:hint="eastAsia"/>
                      <w:color w:val="auto"/>
                    </w:rPr>
                    <w:t>若干</w:t>
                  </w:r>
                </w:p>
              </w:tc>
              <w:tc>
                <w:tcPr>
                  <w:tcW w:w="834" w:type="dxa"/>
                  <w:tcBorders>
                    <w:tl2br w:val="nil"/>
                    <w:tr2bl w:val="nil"/>
                  </w:tcBorders>
                  <w:vAlign w:val="center"/>
                </w:tcPr>
                <w:p w14:paraId="6C390ADA">
                  <w:pPr>
                    <w:pStyle w:val="33"/>
                    <w:rPr>
                      <w:color w:val="auto"/>
                    </w:rPr>
                  </w:pPr>
                  <w:r>
                    <w:rPr>
                      <w:rFonts w:hint="eastAsia"/>
                      <w:color w:val="auto"/>
                    </w:rPr>
                    <w:t>76</w:t>
                  </w:r>
                </w:p>
              </w:tc>
              <w:tc>
                <w:tcPr>
                  <w:tcW w:w="741" w:type="dxa"/>
                  <w:tcBorders>
                    <w:tl2br w:val="nil"/>
                    <w:tr2bl w:val="nil"/>
                  </w:tcBorders>
                  <w:vAlign w:val="center"/>
                </w:tcPr>
                <w:p w14:paraId="636232DF">
                  <w:pPr>
                    <w:pStyle w:val="33"/>
                    <w:rPr>
                      <w:color w:val="auto"/>
                    </w:rPr>
                  </w:pPr>
                  <w:r>
                    <w:rPr>
                      <w:rFonts w:hint="eastAsia"/>
                      <w:color w:val="auto"/>
                    </w:rPr>
                    <w:t>16,74,1.2</w:t>
                  </w:r>
                </w:p>
              </w:tc>
              <w:tc>
                <w:tcPr>
                  <w:tcW w:w="720" w:type="dxa"/>
                  <w:tcBorders>
                    <w:tl2br w:val="nil"/>
                    <w:tr2bl w:val="nil"/>
                  </w:tcBorders>
                  <w:vAlign w:val="center"/>
                </w:tcPr>
                <w:p w14:paraId="49468195">
                  <w:pPr>
                    <w:pStyle w:val="33"/>
                    <w:rPr>
                      <w:color w:val="auto"/>
                    </w:rPr>
                  </w:pPr>
                  <w:r>
                    <w:rPr>
                      <w:rFonts w:hint="eastAsia"/>
                      <w:color w:val="auto"/>
                    </w:rPr>
                    <w:t>6.5</w:t>
                  </w:r>
                </w:p>
              </w:tc>
              <w:tc>
                <w:tcPr>
                  <w:tcW w:w="788" w:type="dxa"/>
                  <w:tcBorders>
                    <w:tl2br w:val="nil"/>
                    <w:tr2bl w:val="nil"/>
                  </w:tcBorders>
                  <w:vAlign w:val="center"/>
                </w:tcPr>
                <w:p w14:paraId="30E61289">
                  <w:pPr>
                    <w:pStyle w:val="33"/>
                    <w:rPr>
                      <w:color w:val="auto"/>
                    </w:rPr>
                  </w:pPr>
                  <w:r>
                    <w:rPr>
                      <w:rFonts w:hint="eastAsia"/>
                      <w:color w:val="auto"/>
                    </w:rPr>
                    <w:t>59.8</w:t>
                  </w:r>
                </w:p>
              </w:tc>
              <w:tc>
                <w:tcPr>
                  <w:tcW w:w="788" w:type="dxa"/>
                  <w:tcBorders>
                    <w:tl2br w:val="nil"/>
                    <w:tr2bl w:val="nil"/>
                  </w:tcBorders>
                  <w:vAlign w:val="center"/>
                </w:tcPr>
                <w:p w14:paraId="0561F0B5">
                  <w:pPr>
                    <w:pStyle w:val="33"/>
                    <w:rPr>
                      <w:color w:val="auto"/>
                    </w:rPr>
                  </w:pPr>
                  <w:r>
                    <w:rPr>
                      <w:color w:val="auto"/>
                    </w:rPr>
                    <w:t>18</w:t>
                  </w:r>
                </w:p>
              </w:tc>
              <w:tc>
                <w:tcPr>
                  <w:tcW w:w="788" w:type="dxa"/>
                  <w:tcBorders>
                    <w:tl2br w:val="nil"/>
                    <w:tr2bl w:val="nil"/>
                  </w:tcBorders>
                  <w:vAlign w:val="center"/>
                </w:tcPr>
                <w:p w14:paraId="195C088D">
                  <w:pPr>
                    <w:pStyle w:val="33"/>
                    <w:rPr>
                      <w:color w:val="auto"/>
                    </w:rPr>
                  </w:pPr>
                  <w:r>
                    <w:rPr>
                      <w:rFonts w:hint="eastAsia"/>
                      <w:color w:val="auto"/>
                    </w:rPr>
                    <w:t>41.8</w:t>
                  </w:r>
                </w:p>
              </w:tc>
              <w:tc>
                <w:tcPr>
                  <w:tcW w:w="702" w:type="dxa"/>
                  <w:tcBorders>
                    <w:tl2br w:val="nil"/>
                    <w:tr2bl w:val="nil"/>
                  </w:tcBorders>
                  <w:vAlign w:val="center"/>
                </w:tcPr>
                <w:p w14:paraId="7AC0D6EC">
                  <w:pPr>
                    <w:pStyle w:val="33"/>
                    <w:rPr>
                      <w:color w:val="auto"/>
                    </w:rPr>
                  </w:pPr>
                  <w:r>
                    <w:rPr>
                      <w:rFonts w:hint="eastAsia"/>
                      <w:color w:val="auto"/>
                    </w:rPr>
                    <w:t>昼间8h</w:t>
                  </w:r>
                </w:p>
              </w:tc>
            </w:tr>
            <w:tr w14:paraId="31491D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l2br w:val="nil"/>
                    <w:tr2bl w:val="nil"/>
                  </w:tcBorders>
                  <w:vAlign w:val="center"/>
                </w:tcPr>
                <w:p w14:paraId="0F4AA227">
                  <w:pPr>
                    <w:pStyle w:val="33"/>
                    <w:rPr>
                      <w:color w:val="auto"/>
                    </w:rPr>
                  </w:pPr>
                  <w:r>
                    <w:rPr>
                      <w:rFonts w:hint="eastAsia"/>
                      <w:color w:val="auto"/>
                    </w:rPr>
                    <w:t>11</w:t>
                  </w:r>
                </w:p>
              </w:tc>
              <w:tc>
                <w:tcPr>
                  <w:tcW w:w="731" w:type="dxa"/>
                  <w:tcBorders>
                    <w:tl2br w:val="nil"/>
                    <w:tr2bl w:val="nil"/>
                  </w:tcBorders>
                  <w:vAlign w:val="center"/>
                </w:tcPr>
                <w:p w14:paraId="3D3B6A11">
                  <w:pPr>
                    <w:pStyle w:val="33"/>
                    <w:rPr>
                      <w:color w:val="auto"/>
                    </w:rPr>
                  </w:pPr>
                  <w:r>
                    <w:rPr>
                      <w:rFonts w:hint="eastAsia"/>
                      <w:color w:val="auto"/>
                    </w:rPr>
                    <w:t>熟制间</w:t>
                  </w:r>
                </w:p>
              </w:tc>
              <w:tc>
                <w:tcPr>
                  <w:tcW w:w="786" w:type="dxa"/>
                  <w:tcBorders>
                    <w:tl2br w:val="nil"/>
                    <w:tr2bl w:val="nil"/>
                  </w:tcBorders>
                  <w:vAlign w:val="center"/>
                </w:tcPr>
                <w:p w14:paraId="2B60D4FC">
                  <w:pPr>
                    <w:pStyle w:val="33"/>
                    <w:rPr>
                      <w:color w:val="auto"/>
                    </w:rPr>
                  </w:pPr>
                  <w:r>
                    <w:rPr>
                      <w:rFonts w:hint="eastAsia"/>
                      <w:color w:val="auto"/>
                    </w:rPr>
                    <w:t>不锈钢泵</w:t>
                  </w:r>
                </w:p>
              </w:tc>
              <w:tc>
                <w:tcPr>
                  <w:tcW w:w="641" w:type="dxa"/>
                  <w:tcBorders>
                    <w:tl2br w:val="nil"/>
                    <w:tr2bl w:val="nil"/>
                  </w:tcBorders>
                  <w:vAlign w:val="center"/>
                </w:tcPr>
                <w:p w14:paraId="3CD793F9">
                  <w:pPr>
                    <w:pStyle w:val="33"/>
                    <w:rPr>
                      <w:color w:val="auto"/>
                    </w:rPr>
                  </w:pPr>
                  <w:r>
                    <w:rPr>
                      <w:rFonts w:hint="eastAsia"/>
                      <w:color w:val="auto"/>
                    </w:rPr>
                    <w:t>1台</w:t>
                  </w:r>
                </w:p>
              </w:tc>
              <w:tc>
                <w:tcPr>
                  <w:tcW w:w="834" w:type="dxa"/>
                  <w:tcBorders>
                    <w:tl2br w:val="nil"/>
                    <w:tr2bl w:val="nil"/>
                  </w:tcBorders>
                  <w:vAlign w:val="center"/>
                </w:tcPr>
                <w:p w14:paraId="35549BC9">
                  <w:pPr>
                    <w:pStyle w:val="33"/>
                    <w:rPr>
                      <w:color w:val="auto"/>
                    </w:rPr>
                  </w:pPr>
                  <w:r>
                    <w:rPr>
                      <w:rFonts w:hint="eastAsia"/>
                      <w:color w:val="auto"/>
                    </w:rPr>
                    <w:t>75</w:t>
                  </w:r>
                </w:p>
              </w:tc>
              <w:tc>
                <w:tcPr>
                  <w:tcW w:w="741" w:type="dxa"/>
                  <w:tcBorders>
                    <w:tl2br w:val="nil"/>
                    <w:tr2bl w:val="nil"/>
                  </w:tcBorders>
                  <w:vAlign w:val="center"/>
                </w:tcPr>
                <w:p w14:paraId="09E9502E">
                  <w:pPr>
                    <w:pStyle w:val="33"/>
                    <w:rPr>
                      <w:color w:val="auto"/>
                    </w:rPr>
                  </w:pPr>
                  <w:r>
                    <w:rPr>
                      <w:rFonts w:hint="eastAsia"/>
                      <w:color w:val="auto"/>
                    </w:rPr>
                    <w:t>14,54,1.0</w:t>
                  </w:r>
                </w:p>
              </w:tc>
              <w:tc>
                <w:tcPr>
                  <w:tcW w:w="720" w:type="dxa"/>
                  <w:tcBorders>
                    <w:tl2br w:val="nil"/>
                    <w:tr2bl w:val="nil"/>
                  </w:tcBorders>
                  <w:vAlign w:val="center"/>
                </w:tcPr>
                <w:p w14:paraId="56B5A63D">
                  <w:pPr>
                    <w:pStyle w:val="33"/>
                    <w:rPr>
                      <w:color w:val="auto"/>
                    </w:rPr>
                  </w:pPr>
                  <w:r>
                    <w:rPr>
                      <w:rFonts w:hint="eastAsia"/>
                      <w:color w:val="auto"/>
                    </w:rPr>
                    <w:t>8.5</w:t>
                  </w:r>
                </w:p>
              </w:tc>
              <w:tc>
                <w:tcPr>
                  <w:tcW w:w="788" w:type="dxa"/>
                  <w:tcBorders>
                    <w:tl2br w:val="nil"/>
                    <w:tr2bl w:val="nil"/>
                  </w:tcBorders>
                  <w:vAlign w:val="center"/>
                </w:tcPr>
                <w:p w14:paraId="11B74E7A">
                  <w:pPr>
                    <w:pStyle w:val="33"/>
                    <w:rPr>
                      <w:color w:val="auto"/>
                    </w:rPr>
                  </w:pPr>
                  <w:r>
                    <w:rPr>
                      <w:rFonts w:hint="eastAsia"/>
                      <w:color w:val="auto"/>
                    </w:rPr>
                    <w:t>56.4</w:t>
                  </w:r>
                </w:p>
              </w:tc>
              <w:tc>
                <w:tcPr>
                  <w:tcW w:w="788" w:type="dxa"/>
                  <w:tcBorders>
                    <w:tl2br w:val="nil"/>
                    <w:tr2bl w:val="nil"/>
                  </w:tcBorders>
                  <w:vAlign w:val="center"/>
                </w:tcPr>
                <w:p w14:paraId="404A4968">
                  <w:pPr>
                    <w:pStyle w:val="33"/>
                    <w:rPr>
                      <w:color w:val="auto"/>
                    </w:rPr>
                  </w:pPr>
                  <w:r>
                    <w:rPr>
                      <w:color w:val="auto"/>
                    </w:rPr>
                    <w:t>18</w:t>
                  </w:r>
                </w:p>
              </w:tc>
              <w:tc>
                <w:tcPr>
                  <w:tcW w:w="788" w:type="dxa"/>
                  <w:tcBorders>
                    <w:tl2br w:val="nil"/>
                    <w:tr2bl w:val="nil"/>
                  </w:tcBorders>
                  <w:vAlign w:val="center"/>
                </w:tcPr>
                <w:p w14:paraId="7CEEDF43">
                  <w:pPr>
                    <w:pStyle w:val="33"/>
                    <w:rPr>
                      <w:color w:val="auto"/>
                    </w:rPr>
                  </w:pPr>
                  <w:r>
                    <w:rPr>
                      <w:rFonts w:hint="eastAsia"/>
                      <w:color w:val="auto"/>
                    </w:rPr>
                    <w:t>38.4</w:t>
                  </w:r>
                </w:p>
              </w:tc>
              <w:tc>
                <w:tcPr>
                  <w:tcW w:w="702" w:type="dxa"/>
                  <w:tcBorders>
                    <w:tl2br w:val="nil"/>
                    <w:tr2bl w:val="nil"/>
                  </w:tcBorders>
                  <w:vAlign w:val="center"/>
                </w:tcPr>
                <w:p w14:paraId="72F80E4A">
                  <w:pPr>
                    <w:pStyle w:val="33"/>
                    <w:rPr>
                      <w:color w:val="auto"/>
                    </w:rPr>
                  </w:pPr>
                  <w:r>
                    <w:rPr>
                      <w:rFonts w:hint="eastAsia"/>
                      <w:color w:val="auto"/>
                    </w:rPr>
                    <w:t>昼间8h</w:t>
                  </w:r>
                </w:p>
              </w:tc>
            </w:tr>
            <w:tr w14:paraId="6B478E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l2br w:val="nil"/>
                    <w:tr2bl w:val="nil"/>
                  </w:tcBorders>
                  <w:vAlign w:val="center"/>
                </w:tcPr>
                <w:p w14:paraId="5D0ED0DD">
                  <w:pPr>
                    <w:pStyle w:val="33"/>
                    <w:rPr>
                      <w:color w:val="auto"/>
                    </w:rPr>
                  </w:pPr>
                  <w:r>
                    <w:rPr>
                      <w:rFonts w:hint="eastAsia"/>
                      <w:color w:val="auto"/>
                    </w:rPr>
                    <w:t>12</w:t>
                  </w:r>
                </w:p>
              </w:tc>
              <w:tc>
                <w:tcPr>
                  <w:tcW w:w="731" w:type="dxa"/>
                  <w:tcBorders>
                    <w:tl2br w:val="nil"/>
                    <w:tr2bl w:val="nil"/>
                  </w:tcBorders>
                  <w:vAlign w:val="center"/>
                </w:tcPr>
                <w:p w14:paraId="1C6F831B">
                  <w:pPr>
                    <w:pStyle w:val="33"/>
                    <w:rPr>
                      <w:color w:val="auto"/>
                    </w:rPr>
                  </w:pPr>
                  <w:r>
                    <w:rPr>
                      <w:rFonts w:hint="eastAsia"/>
                      <w:color w:val="auto"/>
                    </w:rPr>
                    <w:t>废气治理设施</w:t>
                  </w:r>
                </w:p>
              </w:tc>
              <w:tc>
                <w:tcPr>
                  <w:tcW w:w="786" w:type="dxa"/>
                  <w:tcBorders>
                    <w:tl2br w:val="nil"/>
                    <w:tr2bl w:val="nil"/>
                  </w:tcBorders>
                  <w:vAlign w:val="center"/>
                </w:tcPr>
                <w:p w14:paraId="7D056DF5">
                  <w:pPr>
                    <w:pStyle w:val="33"/>
                    <w:rPr>
                      <w:color w:val="auto"/>
                    </w:rPr>
                  </w:pPr>
                  <w:r>
                    <w:rPr>
                      <w:rFonts w:hint="eastAsia"/>
                      <w:color w:val="auto"/>
                    </w:rPr>
                    <w:t>风机</w:t>
                  </w:r>
                </w:p>
              </w:tc>
              <w:tc>
                <w:tcPr>
                  <w:tcW w:w="641" w:type="dxa"/>
                  <w:tcBorders>
                    <w:tl2br w:val="nil"/>
                    <w:tr2bl w:val="nil"/>
                  </w:tcBorders>
                  <w:vAlign w:val="center"/>
                </w:tcPr>
                <w:p w14:paraId="54585753">
                  <w:pPr>
                    <w:pStyle w:val="33"/>
                    <w:rPr>
                      <w:color w:val="auto"/>
                    </w:rPr>
                  </w:pPr>
                  <w:r>
                    <w:rPr>
                      <w:rFonts w:hint="eastAsia"/>
                      <w:color w:val="auto"/>
                    </w:rPr>
                    <w:t>1套</w:t>
                  </w:r>
                </w:p>
              </w:tc>
              <w:tc>
                <w:tcPr>
                  <w:tcW w:w="834" w:type="dxa"/>
                  <w:tcBorders>
                    <w:tl2br w:val="nil"/>
                    <w:tr2bl w:val="nil"/>
                  </w:tcBorders>
                  <w:vAlign w:val="center"/>
                </w:tcPr>
                <w:p w14:paraId="5C1AE6CA">
                  <w:pPr>
                    <w:pStyle w:val="33"/>
                    <w:rPr>
                      <w:color w:val="auto"/>
                    </w:rPr>
                  </w:pPr>
                  <w:r>
                    <w:rPr>
                      <w:rFonts w:hint="eastAsia"/>
                      <w:color w:val="auto"/>
                    </w:rPr>
                    <w:t>85</w:t>
                  </w:r>
                </w:p>
              </w:tc>
              <w:tc>
                <w:tcPr>
                  <w:tcW w:w="741" w:type="dxa"/>
                  <w:tcBorders>
                    <w:tl2br w:val="nil"/>
                    <w:tr2bl w:val="nil"/>
                  </w:tcBorders>
                  <w:vAlign w:val="center"/>
                </w:tcPr>
                <w:p w14:paraId="0F14B2D8">
                  <w:pPr>
                    <w:pStyle w:val="33"/>
                    <w:rPr>
                      <w:color w:val="auto"/>
                    </w:rPr>
                  </w:pPr>
                  <w:r>
                    <w:rPr>
                      <w:rFonts w:hint="eastAsia"/>
                      <w:color w:val="auto"/>
                    </w:rPr>
                    <w:t>13,103,1.2</w:t>
                  </w:r>
                </w:p>
              </w:tc>
              <w:tc>
                <w:tcPr>
                  <w:tcW w:w="720" w:type="dxa"/>
                  <w:tcBorders>
                    <w:tl2br w:val="nil"/>
                    <w:tr2bl w:val="nil"/>
                  </w:tcBorders>
                  <w:vAlign w:val="center"/>
                </w:tcPr>
                <w:p w14:paraId="281DCBAE">
                  <w:pPr>
                    <w:pStyle w:val="33"/>
                    <w:rPr>
                      <w:color w:val="auto"/>
                    </w:rPr>
                  </w:pPr>
                  <w:r>
                    <w:rPr>
                      <w:rFonts w:hint="eastAsia"/>
                      <w:color w:val="auto"/>
                    </w:rPr>
                    <w:t>9.5</w:t>
                  </w:r>
                </w:p>
              </w:tc>
              <w:tc>
                <w:tcPr>
                  <w:tcW w:w="788" w:type="dxa"/>
                  <w:tcBorders>
                    <w:tl2br w:val="nil"/>
                    <w:tr2bl w:val="nil"/>
                  </w:tcBorders>
                  <w:vAlign w:val="center"/>
                </w:tcPr>
                <w:p w14:paraId="1A1BA96E">
                  <w:pPr>
                    <w:pStyle w:val="33"/>
                    <w:rPr>
                      <w:color w:val="auto"/>
                    </w:rPr>
                  </w:pPr>
                  <w:r>
                    <w:rPr>
                      <w:rFonts w:hint="eastAsia"/>
                      <w:color w:val="auto"/>
                    </w:rPr>
                    <w:t>65.4</w:t>
                  </w:r>
                </w:p>
              </w:tc>
              <w:tc>
                <w:tcPr>
                  <w:tcW w:w="788" w:type="dxa"/>
                  <w:tcBorders>
                    <w:tl2br w:val="nil"/>
                    <w:tr2bl w:val="nil"/>
                  </w:tcBorders>
                  <w:vAlign w:val="center"/>
                </w:tcPr>
                <w:p w14:paraId="323FA4EC">
                  <w:pPr>
                    <w:pStyle w:val="33"/>
                    <w:rPr>
                      <w:color w:val="auto"/>
                    </w:rPr>
                  </w:pPr>
                  <w:r>
                    <w:rPr>
                      <w:color w:val="auto"/>
                    </w:rPr>
                    <w:t>18</w:t>
                  </w:r>
                </w:p>
              </w:tc>
              <w:tc>
                <w:tcPr>
                  <w:tcW w:w="788" w:type="dxa"/>
                  <w:tcBorders>
                    <w:tl2br w:val="nil"/>
                    <w:tr2bl w:val="nil"/>
                  </w:tcBorders>
                  <w:vAlign w:val="center"/>
                </w:tcPr>
                <w:p w14:paraId="4EA6C1E8">
                  <w:pPr>
                    <w:pStyle w:val="33"/>
                    <w:rPr>
                      <w:color w:val="auto"/>
                    </w:rPr>
                  </w:pPr>
                  <w:r>
                    <w:rPr>
                      <w:rFonts w:hint="eastAsia"/>
                      <w:color w:val="auto"/>
                    </w:rPr>
                    <w:t>47.4</w:t>
                  </w:r>
                </w:p>
              </w:tc>
              <w:tc>
                <w:tcPr>
                  <w:tcW w:w="702" w:type="dxa"/>
                  <w:tcBorders>
                    <w:tl2br w:val="nil"/>
                    <w:tr2bl w:val="nil"/>
                  </w:tcBorders>
                  <w:vAlign w:val="center"/>
                </w:tcPr>
                <w:p w14:paraId="6E69C8C1">
                  <w:pPr>
                    <w:pStyle w:val="33"/>
                    <w:rPr>
                      <w:color w:val="auto"/>
                    </w:rPr>
                  </w:pPr>
                  <w:r>
                    <w:rPr>
                      <w:rFonts w:hint="eastAsia"/>
                      <w:color w:val="auto"/>
                    </w:rPr>
                    <w:t>昼间8h</w:t>
                  </w:r>
                </w:p>
              </w:tc>
            </w:tr>
          </w:tbl>
          <w:p w14:paraId="332EA351">
            <w:pPr>
              <w:ind w:firstLine="482"/>
              <w:rPr>
                <w:color w:val="auto"/>
              </w:rPr>
            </w:pPr>
            <w:r>
              <w:rPr>
                <w:rFonts w:hint="eastAsia"/>
                <w:b/>
                <w:bCs/>
                <w:color w:val="auto"/>
              </w:rPr>
              <w:t>（2）噪声影响分析</w:t>
            </w:r>
          </w:p>
          <w:p w14:paraId="1F3C2030">
            <w:pPr>
              <w:ind w:firstLine="480"/>
              <w:rPr>
                <w:color w:val="auto"/>
              </w:rPr>
            </w:pPr>
            <w:r>
              <w:rPr>
                <w:color w:val="auto"/>
              </w:rPr>
              <w:t>本项目实行昼间一班制生产，每天工作8h，年工作290d，夜间不生产。噪声预测采用《环境影响评价技术导则 声环境》（HJ2.4-2021）推荐的点声源几何发散衰减模式，并考虑厂房建筑隔声及设备基础减振等措施。根据生产设备平面布置图确定各主要噪声源与四侧预测边界的相对距离，对各噪声源贡献值进行衰减计算后采用声级叠加公式计算各厂界噪声贡献值。</w:t>
            </w:r>
          </w:p>
          <w:p w14:paraId="60AB8908">
            <w:pPr>
              <w:ind w:firstLine="480"/>
              <w:rPr>
                <w:color w:val="auto"/>
              </w:rPr>
            </w:pPr>
            <w:r>
              <w:rPr>
                <w:rFonts w:hint="eastAsia"/>
                <w:color w:val="auto"/>
              </w:rPr>
              <w:t>1）点声源几何发散衰减模式</w:t>
            </w:r>
          </w:p>
          <w:p w14:paraId="2FB4EF91">
            <w:pPr>
              <w:ind w:firstLine="0" w:firstLineChars="0"/>
              <w:jc w:val="center"/>
              <w:rPr>
                <w:i/>
                <w:iCs/>
                <w:color w:val="auto"/>
              </w:rPr>
            </w:pPr>
            <w:r>
              <w:rPr>
                <w:i/>
                <w:iCs/>
                <w:color w:val="auto"/>
              </w:rPr>
              <w:t>L</w:t>
            </w:r>
            <w:r>
              <w:rPr>
                <w:rFonts w:hint="eastAsia"/>
                <w:i/>
                <w:iCs/>
                <w:color w:val="auto"/>
              </w:rPr>
              <w:t>p(r)</w:t>
            </w:r>
            <w:r>
              <w:rPr>
                <w:i/>
                <w:iCs/>
                <w:color w:val="auto"/>
              </w:rPr>
              <w:t>=Lp</w:t>
            </w:r>
            <w:r>
              <w:rPr>
                <w:rFonts w:hint="eastAsia"/>
                <w:i/>
                <w:iCs/>
                <w:color w:val="auto"/>
              </w:rPr>
              <w:t>(</w:t>
            </w:r>
            <w:r>
              <w:rPr>
                <w:i/>
                <w:iCs/>
                <w:color w:val="auto"/>
              </w:rPr>
              <w:t>r</w:t>
            </w:r>
            <w:r>
              <w:rPr>
                <w:rFonts w:hint="eastAsia"/>
                <w:i/>
                <w:iCs/>
                <w:color w:val="auto"/>
                <w:vertAlign w:val="subscript"/>
              </w:rPr>
              <w:t>0</w:t>
            </w:r>
            <w:r>
              <w:rPr>
                <w:rFonts w:hint="eastAsia"/>
                <w:i/>
                <w:iCs/>
                <w:color w:val="auto"/>
              </w:rPr>
              <w:t>)-2</w:t>
            </w:r>
            <w:r>
              <w:rPr>
                <w:i/>
                <w:iCs/>
                <w:color w:val="auto"/>
              </w:rPr>
              <w:t>0lg</w:t>
            </w:r>
            <w:r>
              <w:rPr>
                <w:rFonts w:hint="eastAsia"/>
                <w:i/>
                <w:iCs/>
                <w:color w:val="auto"/>
              </w:rPr>
              <w:t>(r/r</w:t>
            </w:r>
            <w:r>
              <w:rPr>
                <w:rFonts w:hint="eastAsia"/>
                <w:i/>
                <w:iCs/>
                <w:color w:val="auto"/>
                <w:vertAlign w:val="subscript"/>
              </w:rPr>
              <w:t>0</w:t>
            </w:r>
            <w:r>
              <w:rPr>
                <w:rFonts w:hint="eastAsia"/>
                <w:i/>
                <w:iCs/>
                <w:color w:val="auto"/>
              </w:rPr>
              <w:t>)</w:t>
            </w:r>
          </w:p>
          <w:p w14:paraId="4B576A96">
            <w:pPr>
              <w:ind w:firstLine="480"/>
              <w:rPr>
                <w:i/>
                <w:iCs/>
                <w:color w:val="auto"/>
              </w:rPr>
            </w:pPr>
            <w:r>
              <w:rPr>
                <w:rFonts w:hint="eastAsia"/>
                <w:color w:val="auto"/>
              </w:rPr>
              <w:t>式中：</w:t>
            </w:r>
          </w:p>
          <w:p w14:paraId="73A0DF52">
            <w:pPr>
              <w:ind w:firstLine="480"/>
              <w:rPr>
                <w:color w:val="auto"/>
              </w:rPr>
            </w:pPr>
            <w:r>
              <w:rPr>
                <w:rFonts w:hint="eastAsia"/>
                <w:i/>
                <w:iCs/>
                <w:color w:val="auto"/>
              </w:rPr>
              <w:t>Lp(r)</w:t>
            </w:r>
            <w:r>
              <w:rPr>
                <w:rFonts w:hint="eastAsia"/>
                <w:color w:val="auto"/>
              </w:rPr>
              <w:t>——预测点处声压级，dB；</w:t>
            </w:r>
          </w:p>
          <w:p w14:paraId="7DA43D07">
            <w:pPr>
              <w:ind w:firstLine="480"/>
              <w:rPr>
                <w:color w:val="auto"/>
              </w:rPr>
            </w:pPr>
            <w:r>
              <w:rPr>
                <w:i/>
                <w:iCs/>
                <w:color w:val="auto"/>
              </w:rPr>
              <w:t>Lp(r</w:t>
            </w:r>
            <w:r>
              <w:rPr>
                <w:rFonts w:hint="eastAsia"/>
                <w:i/>
                <w:iCs/>
                <w:color w:val="auto"/>
                <w:vertAlign w:val="subscript"/>
              </w:rPr>
              <w:t>0</w:t>
            </w:r>
            <w:r>
              <w:rPr>
                <w:i/>
                <w:iCs/>
                <w:color w:val="auto"/>
              </w:rPr>
              <w:t>)</w:t>
            </w:r>
            <w:r>
              <w:rPr>
                <w:rFonts w:hint="eastAsia"/>
                <w:color w:val="auto"/>
              </w:rPr>
              <w:t>——参考位置r0处的声压级，dB；</w:t>
            </w:r>
          </w:p>
          <w:p w14:paraId="20C639A5">
            <w:pPr>
              <w:ind w:firstLine="480"/>
              <w:rPr>
                <w:color w:val="auto"/>
              </w:rPr>
            </w:pPr>
            <w:r>
              <w:rPr>
                <w:rFonts w:hint="eastAsia"/>
                <w:i/>
                <w:iCs/>
                <w:color w:val="auto"/>
              </w:rPr>
              <w:t>r</w:t>
            </w:r>
            <w:r>
              <w:rPr>
                <w:rFonts w:hint="eastAsia"/>
                <w:color w:val="auto"/>
              </w:rPr>
              <w:t>——预测点距声源的距离；</w:t>
            </w:r>
          </w:p>
          <w:p w14:paraId="6F9E2B68">
            <w:pPr>
              <w:ind w:firstLine="480"/>
              <w:rPr>
                <w:color w:val="auto"/>
              </w:rPr>
            </w:pPr>
            <w:r>
              <w:rPr>
                <w:i/>
                <w:iCs/>
                <w:color w:val="auto"/>
              </w:rPr>
              <w:t>r</w:t>
            </w:r>
            <w:r>
              <w:rPr>
                <w:i/>
                <w:iCs/>
                <w:color w:val="auto"/>
                <w:vertAlign w:val="subscript"/>
              </w:rPr>
              <w:t>0</w:t>
            </w:r>
            <w:r>
              <w:rPr>
                <w:rFonts w:hint="eastAsia"/>
                <w:i/>
                <w:iCs/>
                <w:color w:val="auto"/>
              </w:rPr>
              <w:t>——</w:t>
            </w:r>
            <w:r>
              <w:rPr>
                <w:rFonts w:hint="eastAsia"/>
                <w:color w:val="auto"/>
              </w:rPr>
              <w:t>参考位置距声源的距离。</w:t>
            </w:r>
          </w:p>
          <w:p w14:paraId="21F42507">
            <w:pPr>
              <w:ind w:firstLine="480"/>
              <w:rPr>
                <w:color w:val="auto"/>
              </w:rPr>
            </w:pPr>
            <w:r>
              <w:rPr>
                <w:rFonts w:hint="eastAsia"/>
                <w:color w:val="auto"/>
              </w:rPr>
              <w:t>2）多声源叠加公式</w:t>
            </w:r>
          </w:p>
          <w:p w14:paraId="2E3D34EB">
            <w:pPr>
              <w:ind w:firstLine="0" w:firstLineChars="0"/>
              <w:jc w:val="center"/>
              <w:rPr>
                <w:i/>
                <w:iCs/>
                <w:color w:val="auto"/>
              </w:rPr>
            </w:pPr>
            <w:r>
              <w:rPr>
                <w:i/>
                <w:iCs/>
                <w:color w:val="auto"/>
              </w:rPr>
              <w:t>L</w:t>
            </w:r>
            <w:r>
              <w:rPr>
                <w:i/>
                <w:iCs/>
                <w:color w:val="auto"/>
                <w:vertAlign w:val="subscript"/>
              </w:rPr>
              <w:t>eqg</w:t>
            </w:r>
            <w:r>
              <w:rPr>
                <w:i/>
                <w:iCs/>
                <w:color w:val="auto"/>
              </w:rPr>
              <w:t>=10lg(</w:t>
            </w:r>
            <m:oMath>
              <m:f>
                <m:fPr>
                  <m:ctrlPr>
                    <w:rPr>
                      <w:rFonts w:ascii="Cambria Math" w:hAnsi="Cambria Math"/>
                      <w:i/>
                      <w:iCs/>
                      <w:color w:val="auto"/>
                    </w:rPr>
                  </m:ctrlPr>
                </m:fPr>
                <m:num>
                  <m:r>
                    <m:rPr/>
                    <w:rPr>
                      <w:rFonts w:ascii="Cambria Math" w:hAnsi="Cambria Math"/>
                      <w:color w:val="auto"/>
                    </w:rPr>
                    <m:t>1</m:t>
                  </m:r>
                  <m:ctrlPr>
                    <w:rPr>
                      <w:rFonts w:ascii="Cambria Math" w:hAnsi="Cambria Math"/>
                      <w:i/>
                      <w:iCs/>
                      <w:color w:val="auto"/>
                    </w:rPr>
                  </m:ctrlPr>
                </m:num>
                <m:den>
                  <m:r>
                    <m:rPr/>
                    <w:rPr>
                      <w:rFonts w:ascii="Cambria Math" w:hAnsi="Cambria Math"/>
                      <w:color w:val="auto"/>
                    </w:rPr>
                    <m:t>Ti</m:t>
                  </m:r>
                  <m:ctrlPr>
                    <w:rPr>
                      <w:rFonts w:ascii="Cambria Math" w:hAnsi="Cambria Math"/>
                      <w:i/>
                      <w:iCs/>
                      <w:color w:val="auto"/>
                    </w:rPr>
                  </m:ctrlPr>
                </m:den>
              </m:f>
              <m:nary>
                <m:naryPr>
                  <m:chr m:val="∑"/>
                  <m:limLoc m:val="undOvr"/>
                  <m:supHide m:val="1"/>
                  <m:ctrlPr>
                    <w:rPr>
                      <w:rFonts w:ascii="Cambria Math" w:hAnsi="Cambria Math"/>
                      <w:i/>
                      <w:iCs/>
                      <w:color w:val="auto"/>
                    </w:rPr>
                  </m:ctrlPr>
                </m:naryPr>
                <m:sub>
                  <m:r>
                    <m:rPr/>
                    <w:rPr>
                      <w:rFonts w:ascii="Cambria Math" w:hAnsi="Cambria Math"/>
                      <w:color w:val="auto"/>
                    </w:rPr>
                    <m:t>t</m:t>
                  </m:r>
                  <m:ctrlPr>
                    <w:rPr>
                      <w:rFonts w:ascii="Cambria Math" w:hAnsi="Cambria Math"/>
                      <w:i/>
                      <w:iCs/>
                      <w:color w:val="auto"/>
                    </w:rPr>
                  </m:ctrlPr>
                </m:sub>
                <m:sup>
                  <m:ctrlPr>
                    <w:rPr>
                      <w:rFonts w:ascii="Cambria Math" w:hAnsi="Cambria Math"/>
                      <w:i/>
                      <w:iCs/>
                      <w:color w:val="auto"/>
                    </w:rPr>
                  </m:ctrlPr>
                </m:sup>
                <m:e>
                  <m:r>
                    <m:rPr/>
                    <w:rPr>
                      <w:rFonts w:ascii="Cambria Math" w:hAnsi="Cambria Math"/>
                      <w:color w:val="auto"/>
                    </w:rPr>
                    <m:t>ti</m:t>
                  </m:r>
                  <m:ctrlPr>
                    <w:rPr>
                      <w:rFonts w:ascii="Cambria Math" w:hAnsi="Cambria Math"/>
                      <w:i/>
                      <w:iCs/>
                      <w:color w:val="auto"/>
                    </w:rPr>
                  </m:ctrlPr>
                </m:e>
              </m:nary>
            </m:oMath>
            <w:r>
              <w:rPr>
                <w:i/>
                <w:iCs/>
                <w:color w:val="auto"/>
              </w:rPr>
              <w:t>10</w:t>
            </w:r>
            <w:r>
              <w:rPr>
                <w:i/>
                <w:iCs/>
                <w:color w:val="auto"/>
                <w:vertAlign w:val="superscript"/>
              </w:rPr>
              <w:t>0.1LAi</w:t>
            </w:r>
            <w:r>
              <w:rPr>
                <w:i/>
                <w:iCs/>
                <w:color w:val="auto"/>
              </w:rPr>
              <w:t>)</w:t>
            </w:r>
          </w:p>
          <w:p w14:paraId="7D23D7C3">
            <w:pPr>
              <w:ind w:firstLine="480"/>
              <w:rPr>
                <w:color w:val="auto"/>
              </w:rPr>
            </w:pPr>
            <w:r>
              <w:rPr>
                <w:color w:val="auto"/>
              </w:rPr>
              <w:t>式中：</w:t>
            </w:r>
          </w:p>
          <w:p w14:paraId="63193D1D">
            <w:pPr>
              <w:ind w:firstLine="480"/>
              <w:rPr>
                <w:color w:val="auto"/>
              </w:rPr>
            </w:pPr>
            <w:r>
              <w:rPr>
                <w:color w:val="auto"/>
              </w:rPr>
              <w:t>Leqg——</w:t>
            </w:r>
            <w:r>
              <w:rPr>
                <w:rFonts w:hint="eastAsia"/>
                <w:color w:val="auto"/>
              </w:rPr>
              <w:t>噪声贡献值</w:t>
            </w:r>
            <w:r>
              <w:rPr>
                <w:color w:val="auto"/>
              </w:rPr>
              <w:t>，dB；</w:t>
            </w:r>
          </w:p>
          <w:p w14:paraId="5A4A6351">
            <w:pPr>
              <w:ind w:firstLine="480"/>
              <w:rPr>
                <w:color w:val="auto"/>
              </w:rPr>
            </w:pPr>
            <w:r>
              <w:rPr>
                <w:rFonts w:hint="eastAsia"/>
                <w:color w:val="auto"/>
              </w:rPr>
              <w:t>T</w:t>
            </w:r>
            <w:r>
              <w:rPr>
                <w:color w:val="auto"/>
              </w:rPr>
              <w:t>——</w:t>
            </w:r>
            <w:r>
              <w:rPr>
                <w:rFonts w:hint="eastAsia"/>
                <w:color w:val="auto"/>
              </w:rPr>
              <w:t>预测计算的时间段</w:t>
            </w:r>
            <w:r>
              <w:rPr>
                <w:color w:val="auto"/>
              </w:rPr>
              <w:t>，</w:t>
            </w:r>
            <w:r>
              <w:rPr>
                <w:rFonts w:hint="eastAsia"/>
                <w:color w:val="auto"/>
              </w:rPr>
              <w:t>s</w:t>
            </w:r>
            <w:r>
              <w:rPr>
                <w:color w:val="auto"/>
              </w:rPr>
              <w:t>；</w:t>
            </w:r>
          </w:p>
          <w:p w14:paraId="72D0F5D6">
            <w:pPr>
              <w:ind w:firstLine="480"/>
              <w:rPr>
                <w:color w:val="auto"/>
              </w:rPr>
            </w:pPr>
            <w:r>
              <w:rPr>
                <w:rFonts w:hint="eastAsia"/>
                <w:color w:val="auto"/>
              </w:rPr>
              <w:t>ti</w:t>
            </w:r>
            <w:r>
              <w:rPr>
                <w:color w:val="auto"/>
              </w:rPr>
              <w:t>——i声源在T时段内的运行时间，s；</w:t>
            </w:r>
          </w:p>
          <w:p w14:paraId="557403A8">
            <w:pPr>
              <w:ind w:firstLine="480"/>
              <w:rPr>
                <w:color w:val="auto"/>
              </w:rPr>
            </w:pPr>
            <w:r>
              <w:rPr>
                <w:color w:val="auto"/>
              </w:rPr>
              <w:t>L</w:t>
            </w:r>
            <w:r>
              <w:rPr>
                <w:color w:val="auto"/>
                <w:vertAlign w:val="subscript"/>
              </w:rPr>
              <w:t>Ai</w:t>
            </w:r>
            <w:r>
              <w:rPr>
                <w:color w:val="auto"/>
              </w:rPr>
              <w:t>——i声源在预测点产生的等效连续A声级，dB。</w:t>
            </w:r>
          </w:p>
          <w:p w14:paraId="5EBD3A0B">
            <w:pPr>
              <w:ind w:firstLine="480"/>
              <w:rPr>
                <w:color w:val="auto"/>
              </w:rPr>
            </w:pPr>
            <w:r>
              <w:rPr>
                <w:color w:val="auto"/>
              </w:rPr>
              <w:t>项目设备只在昼间运行，夜间不运行。噪声预测结果见表4-</w:t>
            </w:r>
            <w:r>
              <w:rPr>
                <w:rFonts w:hint="eastAsia"/>
                <w:color w:val="auto"/>
              </w:rPr>
              <w:t>11</w:t>
            </w:r>
            <w:r>
              <w:rPr>
                <w:color w:val="auto"/>
              </w:rPr>
              <w:t>。</w:t>
            </w:r>
          </w:p>
          <w:p w14:paraId="1C68950F">
            <w:pPr>
              <w:pStyle w:val="35"/>
              <w:rPr>
                <w:rFonts w:hint="default"/>
                <w:color w:val="auto"/>
              </w:rPr>
            </w:pPr>
            <w:r>
              <w:rPr>
                <w:color w:val="auto"/>
              </w:rPr>
              <w:t>表4-11 噪声影响预测结果   单位：dB（A）</w:t>
            </w:r>
          </w:p>
          <w:tbl>
            <w:tblPr>
              <w:tblStyle w:val="17"/>
              <w:tblW w:w="801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03"/>
              <w:gridCol w:w="2003"/>
              <w:gridCol w:w="2003"/>
              <w:gridCol w:w="2003"/>
            </w:tblGrid>
            <w:tr w14:paraId="13E55D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03" w:type="dxa"/>
                  <w:tcBorders>
                    <w:tl2br w:val="nil"/>
                    <w:tr2bl w:val="nil"/>
                  </w:tcBorders>
                  <w:vAlign w:val="center"/>
                </w:tcPr>
                <w:p w14:paraId="732B2ADA">
                  <w:pPr>
                    <w:pStyle w:val="33"/>
                    <w:rPr>
                      <w:color w:val="auto"/>
                    </w:rPr>
                  </w:pPr>
                  <w:r>
                    <w:rPr>
                      <w:rFonts w:hint="eastAsia"/>
                      <w:color w:val="auto"/>
                    </w:rPr>
                    <w:t>预测点为</w:t>
                  </w:r>
                </w:p>
              </w:tc>
              <w:tc>
                <w:tcPr>
                  <w:tcW w:w="2003" w:type="dxa"/>
                  <w:tcBorders>
                    <w:tl2br w:val="nil"/>
                    <w:tr2bl w:val="nil"/>
                  </w:tcBorders>
                  <w:vAlign w:val="center"/>
                </w:tcPr>
                <w:p w14:paraId="5A17D532">
                  <w:pPr>
                    <w:pStyle w:val="33"/>
                    <w:rPr>
                      <w:color w:val="auto"/>
                    </w:rPr>
                  </w:pPr>
                  <w:r>
                    <w:rPr>
                      <w:rFonts w:hint="eastAsia"/>
                      <w:color w:val="auto"/>
                    </w:rPr>
                    <w:t>贡献值</w:t>
                  </w:r>
                </w:p>
              </w:tc>
              <w:tc>
                <w:tcPr>
                  <w:tcW w:w="2003" w:type="dxa"/>
                  <w:tcBorders>
                    <w:tl2br w:val="nil"/>
                    <w:tr2bl w:val="nil"/>
                  </w:tcBorders>
                  <w:vAlign w:val="center"/>
                </w:tcPr>
                <w:p w14:paraId="5F5ABD7F">
                  <w:pPr>
                    <w:pStyle w:val="33"/>
                    <w:rPr>
                      <w:color w:val="auto"/>
                    </w:rPr>
                  </w:pPr>
                  <w:r>
                    <w:rPr>
                      <w:rFonts w:hint="eastAsia"/>
                      <w:color w:val="auto"/>
                    </w:rPr>
                    <w:t>标准</w:t>
                  </w:r>
                </w:p>
              </w:tc>
              <w:tc>
                <w:tcPr>
                  <w:tcW w:w="2003" w:type="dxa"/>
                  <w:tcBorders>
                    <w:tl2br w:val="nil"/>
                    <w:tr2bl w:val="nil"/>
                  </w:tcBorders>
                  <w:vAlign w:val="center"/>
                </w:tcPr>
                <w:p w14:paraId="3724A547">
                  <w:pPr>
                    <w:pStyle w:val="33"/>
                    <w:rPr>
                      <w:color w:val="auto"/>
                    </w:rPr>
                  </w:pPr>
                  <w:r>
                    <w:rPr>
                      <w:rFonts w:hint="eastAsia"/>
                      <w:color w:val="auto"/>
                    </w:rPr>
                    <w:t>达标情况</w:t>
                  </w:r>
                </w:p>
              </w:tc>
            </w:tr>
            <w:tr w14:paraId="6CA530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03" w:type="dxa"/>
                  <w:tcBorders>
                    <w:tl2br w:val="nil"/>
                    <w:tr2bl w:val="nil"/>
                  </w:tcBorders>
                  <w:vAlign w:val="center"/>
                </w:tcPr>
                <w:p w14:paraId="61316CC9">
                  <w:pPr>
                    <w:pStyle w:val="33"/>
                    <w:rPr>
                      <w:color w:val="auto"/>
                    </w:rPr>
                  </w:pPr>
                  <w:r>
                    <w:rPr>
                      <w:rFonts w:hint="eastAsia"/>
                      <w:color w:val="auto"/>
                    </w:rPr>
                    <w:t>东面厂界外1m</w:t>
                  </w:r>
                </w:p>
              </w:tc>
              <w:tc>
                <w:tcPr>
                  <w:tcW w:w="2003" w:type="dxa"/>
                  <w:tcBorders>
                    <w:tl2br w:val="nil"/>
                    <w:tr2bl w:val="nil"/>
                  </w:tcBorders>
                  <w:vAlign w:val="center"/>
                </w:tcPr>
                <w:p w14:paraId="402739A7">
                  <w:pPr>
                    <w:pStyle w:val="33"/>
                    <w:rPr>
                      <w:color w:val="auto"/>
                    </w:rPr>
                  </w:pPr>
                  <w:r>
                    <w:rPr>
                      <w:rFonts w:hint="eastAsia"/>
                      <w:color w:val="auto"/>
                    </w:rPr>
                    <w:t>56.2</w:t>
                  </w:r>
                </w:p>
              </w:tc>
              <w:tc>
                <w:tcPr>
                  <w:tcW w:w="2003" w:type="dxa"/>
                  <w:tcBorders>
                    <w:tl2br w:val="nil"/>
                    <w:tr2bl w:val="nil"/>
                  </w:tcBorders>
                  <w:vAlign w:val="center"/>
                </w:tcPr>
                <w:p w14:paraId="3BDBA551">
                  <w:pPr>
                    <w:pStyle w:val="33"/>
                    <w:rPr>
                      <w:color w:val="auto"/>
                    </w:rPr>
                  </w:pPr>
                  <w:r>
                    <w:rPr>
                      <w:rFonts w:hint="eastAsia"/>
                      <w:color w:val="auto"/>
                    </w:rPr>
                    <w:t>65</w:t>
                  </w:r>
                </w:p>
              </w:tc>
              <w:tc>
                <w:tcPr>
                  <w:tcW w:w="2003" w:type="dxa"/>
                  <w:tcBorders>
                    <w:tl2br w:val="nil"/>
                    <w:tr2bl w:val="nil"/>
                  </w:tcBorders>
                  <w:vAlign w:val="center"/>
                </w:tcPr>
                <w:p w14:paraId="7461F29C">
                  <w:pPr>
                    <w:pStyle w:val="33"/>
                    <w:rPr>
                      <w:color w:val="auto"/>
                    </w:rPr>
                  </w:pPr>
                  <w:r>
                    <w:rPr>
                      <w:rFonts w:hint="eastAsia"/>
                      <w:color w:val="auto"/>
                    </w:rPr>
                    <w:t>达标</w:t>
                  </w:r>
                </w:p>
              </w:tc>
            </w:tr>
            <w:tr w14:paraId="7A5425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03" w:type="dxa"/>
                  <w:tcBorders>
                    <w:tl2br w:val="nil"/>
                    <w:tr2bl w:val="nil"/>
                  </w:tcBorders>
                  <w:vAlign w:val="center"/>
                </w:tcPr>
                <w:p w14:paraId="1850D1ED">
                  <w:pPr>
                    <w:pStyle w:val="33"/>
                    <w:rPr>
                      <w:color w:val="auto"/>
                    </w:rPr>
                  </w:pPr>
                  <w:r>
                    <w:rPr>
                      <w:rFonts w:hint="eastAsia"/>
                      <w:color w:val="auto"/>
                    </w:rPr>
                    <w:t>南面厂界外1m</w:t>
                  </w:r>
                </w:p>
              </w:tc>
              <w:tc>
                <w:tcPr>
                  <w:tcW w:w="2003" w:type="dxa"/>
                  <w:tcBorders>
                    <w:tl2br w:val="nil"/>
                    <w:tr2bl w:val="nil"/>
                  </w:tcBorders>
                  <w:vAlign w:val="center"/>
                </w:tcPr>
                <w:p w14:paraId="6F922EC3">
                  <w:pPr>
                    <w:pStyle w:val="33"/>
                    <w:rPr>
                      <w:color w:val="auto"/>
                    </w:rPr>
                  </w:pPr>
                  <w:r>
                    <w:rPr>
                      <w:rFonts w:hint="eastAsia"/>
                      <w:color w:val="auto"/>
                    </w:rPr>
                    <w:t>35.2</w:t>
                  </w:r>
                </w:p>
              </w:tc>
              <w:tc>
                <w:tcPr>
                  <w:tcW w:w="2003" w:type="dxa"/>
                  <w:tcBorders>
                    <w:tl2br w:val="nil"/>
                    <w:tr2bl w:val="nil"/>
                  </w:tcBorders>
                  <w:vAlign w:val="center"/>
                </w:tcPr>
                <w:p w14:paraId="5618DB7C">
                  <w:pPr>
                    <w:pStyle w:val="33"/>
                    <w:rPr>
                      <w:color w:val="auto"/>
                    </w:rPr>
                  </w:pPr>
                  <w:r>
                    <w:rPr>
                      <w:rFonts w:hint="eastAsia"/>
                      <w:color w:val="auto"/>
                    </w:rPr>
                    <w:t>65</w:t>
                  </w:r>
                </w:p>
              </w:tc>
              <w:tc>
                <w:tcPr>
                  <w:tcW w:w="2003" w:type="dxa"/>
                  <w:tcBorders>
                    <w:tl2br w:val="nil"/>
                    <w:tr2bl w:val="nil"/>
                  </w:tcBorders>
                  <w:vAlign w:val="center"/>
                </w:tcPr>
                <w:p w14:paraId="12A90C93">
                  <w:pPr>
                    <w:pStyle w:val="33"/>
                    <w:rPr>
                      <w:color w:val="auto"/>
                    </w:rPr>
                  </w:pPr>
                  <w:r>
                    <w:rPr>
                      <w:rFonts w:hint="eastAsia"/>
                      <w:color w:val="auto"/>
                    </w:rPr>
                    <w:t>达标</w:t>
                  </w:r>
                </w:p>
              </w:tc>
            </w:tr>
            <w:tr w14:paraId="56BAB1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03" w:type="dxa"/>
                  <w:tcBorders>
                    <w:tl2br w:val="nil"/>
                    <w:tr2bl w:val="nil"/>
                  </w:tcBorders>
                  <w:vAlign w:val="center"/>
                </w:tcPr>
                <w:p w14:paraId="093A8DAE">
                  <w:pPr>
                    <w:pStyle w:val="33"/>
                    <w:rPr>
                      <w:color w:val="auto"/>
                    </w:rPr>
                  </w:pPr>
                  <w:r>
                    <w:rPr>
                      <w:rFonts w:hint="eastAsia"/>
                      <w:color w:val="auto"/>
                    </w:rPr>
                    <w:t>西面厂界外1m</w:t>
                  </w:r>
                </w:p>
              </w:tc>
              <w:tc>
                <w:tcPr>
                  <w:tcW w:w="2003" w:type="dxa"/>
                  <w:tcBorders>
                    <w:tl2br w:val="nil"/>
                    <w:tr2bl w:val="nil"/>
                  </w:tcBorders>
                  <w:vAlign w:val="center"/>
                </w:tcPr>
                <w:p w14:paraId="2659F0DA">
                  <w:pPr>
                    <w:pStyle w:val="33"/>
                    <w:rPr>
                      <w:color w:val="auto"/>
                    </w:rPr>
                  </w:pPr>
                  <w:r>
                    <w:rPr>
                      <w:rFonts w:hint="eastAsia"/>
                      <w:color w:val="auto"/>
                    </w:rPr>
                    <w:t>51.2</w:t>
                  </w:r>
                </w:p>
              </w:tc>
              <w:tc>
                <w:tcPr>
                  <w:tcW w:w="2003" w:type="dxa"/>
                  <w:tcBorders>
                    <w:tl2br w:val="nil"/>
                    <w:tr2bl w:val="nil"/>
                  </w:tcBorders>
                  <w:vAlign w:val="center"/>
                </w:tcPr>
                <w:p w14:paraId="6379AE37">
                  <w:pPr>
                    <w:pStyle w:val="33"/>
                    <w:rPr>
                      <w:color w:val="auto"/>
                    </w:rPr>
                  </w:pPr>
                  <w:r>
                    <w:rPr>
                      <w:rFonts w:hint="eastAsia"/>
                      <w:color w:val="auto"/>
                    </w:rPr>
                    <w:t>65</w:t>
                  </w:r>
                </w:p>
              </w:tc>
              <w:tc>
                <w:tcPr>
                  <w:tcW w:w="2003" w:type="dxa"/>
                  <w:tcBorders>
                    <w:tl2br w:val="nil"/>
                    <w:tr2bl w:val="nil"/>
                  </w:tcBorders>
                  <w:vAlign w:val="center"/>
                </w:tcPr>
                <w:p w14:paraId="4E1D57B6">
                  <w:pPr>
                    <w:pStyle w:val="33"/>
                    <w:rPr>
                      <w:color w:val="auto"/>
                    </w:rPr>
                  </w:pPr>
                  <w:r>
                    <w:rPr>
                      <w:rFonts w:hint="eastAsia"/>
                      <w:color w:val="auto"/>
                    </w:rPr>
                    <w:t>达标</w:t>
                  </w:r>
                </w:p>
              </w:tc>
            </w:tr>
            <w:tr w14:paraId="58BA36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03" w:type="dxa"/>
                  <w:tcBorders>
                    <w:tl2br w:val="nil"/>
                    <w:tr2bl w:val="nil"/>
                  </w:tcBorders>
                  <w:vAlign w:val="center"/>
                </w:tcPr>
                <w:p w14:paraId="53474A53">
                  <w:pPr>
                    <w:pStyle w:val="33"/>
                    <w:rPr>
                      <w:color w:val="auto"/>
                    </w:rPr>
                  </w:pPr>
                  <w:r>
                    <w:rPr>
                      <w:rFonts w:hint="eastAsia"/>
                      <w:color w:val="auto"/>
                    </w:rPr>
                    <w:t>北面厂界外1m</w:t>
                  </w:r>
                </w:p>
              </w:tc>
              <w:tc>
                <w:tcPr>
                  <w:tcW w:w="2003" w:type="dxa"/>
                  <w:tcBorders>
                    <w:tl2br w:val="nil"/>
                    <w:tr2bl w:val="nil"/>
                  </w:tcBorders>
                  <w:vAlign w:val="center"/>
                </w:tcPr>
                <w:p w14:paraId="70FB2B77">
                  <w:pPr>
                    <w:pStyle w:val="33"/>
                    <w:rPr>
                      <w:color w:val="auto"/>
                    </w:rPr>
                  </w:pPr>
                  <w:r>
                    <w:rPr>
                      <w:rFonts w:hint="eastAsia"/>
                      <w:color w:val="auto"/>
                    </w:rPr>
                    <w:t>43.3</w:t>
                  </w:r>
                </w:p>
              </w:tc>
              <w:tc>
                <w:tcPr>
                  <w:tcW w:w="2003" w:type="dxa"/>
                  <w:tcBorders>
                    <w:tl2br w:val="nil"/>
                    <w:tr2bl w:val="nil"/>
                  </w:tcBorders>
                  <w:vAlign w:val="center"/>
                </w:tcPr>
                <w:p w14:paraId="6EBF61D9">
                  <w:pPr>
                    <w:pStyle w:val="33"/>
                    <w:rPr>
                      <w:color w:val="auto"/>
                    </w:rPr>
                  </w:pPr>
                  <w:r>
                    <w:rPr>
                      <w:rFonts w:hint="eastAsia"/>
                      <w:color w:val="auto"/>
                    </w:rPr>
                    <w:t>65</w:t>
                  </w:r>
                </w:p>
              </w:tc>
              <w:tc>
                <w:tcPr>
                  <w:tcW w:w="2003" w:type="dxa"/>
                  <w:tcBorders>
                    <w:tl2br w:val="nil"/>
                    <w:tr2bl w:val="nil"/>
                  </w:tcBorders>
                  <w:vAlign w:val="center"/>
                </w:tcPr>
                <w:p w14:paraId="3F19B825">
                  <w:pPr>
                    <w:pStyle w:val="33"/>
                    <w:rPr>
                      <w:color w:val="auto"/>
                    </w:rPr>
                  </w:pPr>
                  <w:r>
                    <w:rPr>
                      <w:rFonts w:hint="eastAsia"/>
                      <w:color w:val="auto"/>
                    </w:rPr>
                    <w:t>达标</w:t>
                  </w:r>
                </w:p>
              </w:tc>
            </w:tr>
          </w:tbl>
          <w:p w14:paraId="7AB9D13D">
            <w:pPr>
              <w:ind w:firstLine="480"/>
              <w:rPr>
                <w:color w:val="auto"/>
              </w:rPr>
            </w:pPr>
            <w:r>
              <w:rPr>
                <w:color w:val="auto"/>
              </w:rPr>
              <w:t>由上表可知，正常工况下，项目厂界噪声满足《工业企业厂界环境噪声排放标准》（GB12348-2008）3类标准</w:t>
            </w:r>
            <w:r>
              <w:rPr>
                <w:rFonts w:hint="eastAsia"/>
                <w:color w:val="auto"/>
              </w:rPr>
              <w:t>。</w:t>
            </w:r>
          </w:p>
          <w:p w14:paraId="459D1CE7">
            <w:pPr>
              <w:ind w:firstLine="482"/>
              <w:rPr>
                <w:color w:val="auto"/>
              </w:rPr>
            </w:pPr>
            <w:r>
              <w:rPr>
                <w:rFonts w:hint="eastAsia"/>
                <w:b/>
                <w:bCs/>
                <w:color w:val="auto"/>
              </w:rPr>
              <w:t>（3）噪声防治措施</w:t>
            </w:r>
          </w:p>
          <w:p w14:paraId="376A9A9E">
            <w:pPr>
              <w:ind w:firstLine="480"/>
              <w:rPr>
                <w:color w:val="auto"/>
              </w:rPr>
            </w:pPr>
            <w:r>
              <w:rPr>
                <w:color w:val="auto"/>
              </w:rPr>
              <w:t>为进一步降低设备运行噪声对周边环境的影响，项目优先选用低噪声设备，粉碎机、混合机、制粒机、烘干机、包装机等设备采取基础减振措施；主要生产设备均设置于厂房内部，利用墙体进行隔声；泵、风机等振动设备设置减振垫或减振基础，风机与管道连接处采用柔性连接，并加强设备日常维护保养，避免设备松动、磨损产生异常噪声。生产期间保持厂房门窗处于关闭状态，高噪声生产活动集中于昼间进行。经采取上述措施后，项目厂界噪声可实现达标排放。</w:t>
            </w:r>
          </w:p>
          <w:p w14:paraId="0FBA6AEE">
            <w:pPr>
              <w:ind w:firstLine="482"/>
              <w:rPr>
                <w:b/>
                <w:bCs/>
                <w:color w:val="auto"/>
              </w:rPr>
            </w:pPr>
            <w:r>
              <w:rPr>
                <w:rFonts w:hint="eastAsia"/>
                <w:b/>
                <w:bCs/>
                <w:color w:val="auto"/>
              </w:rPr>
              <w:t>（4）噪声监测计划</w:t>
            </w:r>
          </w:p>
          <w:p w14:paraId="7DA4E388">
            <w:pPr>
              <w:ind w:firstLine="480"/>
              <w:rPr>
                <w:b/>
                <w:bCs/>
                <w:color w:val="auto"/>
              </w:rPr>
            </w:pPr>
            <w:r>
              <w:rPr>
                <w:color w:val="auto"/>
              </w:rPr>
              <w:t>根据项目生产特征和污染物排放特点、《工业企业厂界环境噪声排放标准》（GB12348-2008）3类标准</w:t>
            </w:r>
            <w:r>
              <w:rPr>
                <w:rFonts w:hint="eastAsia"/>
                <w:color w:val="auto"/>
              </w:rPr>
              <w:t>和</w:t>
            </w:r>
            <w:r>
              <w:rPr>
                <w:color w:val="auto"/>
              </w:rPr>
              <w:t>《排污单位自行监测技术指南 总则》（HJ819 2017），据此制定噪声监测计划和工作方案。具体见下表：</w:t>
            </w:r>
          </w:p>
          <w:p w14:paraId="39B9C5A7">
            <w:pPr>
              <w:pStyle w:val="35"/>
              <w:rPr>
                <w:rFonts w:hint="default"/>
                <w:color w:val="auto"/>
              </w:rPr>
            </w:pPr>
            <w:r>
              <w:rPr>
                <w:color w:val="auto"/>
              </w:rPr>
              <w:t>表4-12 厂界环境噪声监测计划一览表</w:t>
            </w:r>
          </w:p>
          <w:tbl>
            <w:tblPr>
              <w:tblStyle w:val="17"/>
              <w:tblW w:w="80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04"/>
              <w:gridCol w:w="2005"/>
              <w:gridCol w:w="1838"/>
              <w:gridCol w:w="2175"/>
            </w:tblGrid>
            <w:tr w14:paraId="1FB59C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04" w:type="dxa"/>
                  <w:tcBorders>
                    <w:tl2br w:val="nil"/>
                    <w:tr2bl w:val="nil"/>
                  </w:tcBorders>
                  <w:vAlign w:val="center"/>
                </w:tcPr>
                <w:p w14:paraId="26E06B37">
                  <w:pPr>
                    <w:pStyle w:val="33"/>
                    <w:rPr>
                      <w:color w:val="auto"/>
                    </w:rPr>
                  </w:pPr>
                  <w:r>
                    <w:rPr>
                      <w:rFonts w:hint="eastAsia"/>
                      <w:color w:val="auto"/>
                    </w:rPr>
                    <w:t>监测点位</w:t>
                  </w:r>
                </w:p>
              </w:tc>
              <w:tc>
                <w:tcPr>
                  <w:tcW w:w="2005" w:type="dxa"/>
                  <w:tcBorders>
                    <w:tl2br w:val="nil"/>
                    <w:tr2bl w:val="nil"/>
                  </w:tcBorders>
                  <w:vAlign w:val="center"/>
                </w:tcPr>
                <w:p w14:paraId="0A7DE4C4">
                  <w:pPr>
                    <w:pStyle w:val="33"/>
                    <w:rPr>
                      <w:color w:val="auto"/>
                    </w:rPr>
                  </w:pPr>
                  <w:r>
                    <w:rPr>
                      <w:rFonts w:hint="eastAsia"/>
                      <w:color w:val="auto"/>
                    </w:rPr>
                    <w:t>监测项目</w:t>
                  </w:r>
                </w:p>
              </w:tc>
              <w:tc>
                <w:tcPr>
                  <w:tcW w:w="1838" w:type="dxa"/>
                  <w:tcBorders>
                    <w:tl2br w:val="nil"/>
                    <w:tr2bl w:val="nil"/>
                  </w:tcBorders>
                  <w:vAlign w:val="center"/>
                </w:tcPr>
                <w:p w14:paraId="1ABDE722">
                  <w:pPr>
                    <w:pStyle w:val="33"/>
                    <w:rPr>
                      <w:color w:val="auto"/>
                    </w:rPr>
                  </w:pPr>
                  <w:r>
                    <w:rPr>
                      <w:rFonts w:hint="eastAsia"/>
                      <w:color w:val="auto"/>
                    </w:rPr>
                    <w:t>监测频次</w:t>
                  </w:r>
                </w:p>
              </w:tc>
              <w:tc>
                <w:tcPr>
                  <w:tcW w:w="2175" w:type="dxa"/>
                  <w:tcBorders>
                    <w:tl2br w:val="nil"/>
                    <w:tr2bl w:val="nil"/>
                  </w:tcBorders>
                  <w:vAlign w:val="center"/>
                </w:tcPr>
                <w:p w14:paraId="0258B21C">
                  <w:pPr>
                    <w:pStyle w:val="33"/>
                    <w:rPr>
                      <w:color w:val="auto"/>
                    </w:rPr>
                  </w:pPr>
                  <w:r>
                    <w:rPr>
                      <w:rFonts w:hint="eastAsia"/>
                      <w:color w:val="auto"/>
                    </w:rPr>
                    <w:t>执行排放标准</w:t>
                  </w:r>
                </w:p>
              </w:tc>
            </w:tr>
            <w:tr w14:paraId="11961E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04" w:type="dxa"/>
                  <w:tcBorders>
                    <w:tl2br w:val="nil"/>
                    <w:tr2bl w:val="nil"/>
                  </w:tcBorders>
                  <w:vAlign w:val="center"/>
                </w:tcPr>
                <w:p w14:paraId="154E8E38">
                  <w:pPr>
                    <w:pStyle w:val="33"/>
                    <w:rPr>
                      <w:color w:val="auto"/>
                    </w:rPr>
                  </w:pPr>
                  <w:r>
                    <w:rPr>
                      <w:rFonts w:hint="eastAsia"/>
                      <w:color w:val="auto"/>
                    </w:rPr>
                    <w:t>厂界四周外1m处</w:t>
                  </w:r>
                </w:p>
              </w:tc>
              <w:tc>
                <w:tcPr>
                  <w:tcW w:w="2005" w:type="dxa"/>
                  <w:tcBorders>
                    <w:tl2br w:val="nil"/>
                    <w:tr2bl w:val="nil"/>
                  </w:tcBorders>
                  <w:vAlign w:val="center"/>
                </w:tcPr>
                <w:p w14:paraId="01B2C7F9">
                  <w:pPr>
                    <w:pStyle w:val="33"/>
                    <w:rPr>
                      <w:color w:val="auto"/>
                    </w:rPr>
                  </w:pPr>
                  <w:r>
                    <w:rPr>
                      <w:rFonts w:hint="eastAsia"/>
                      <w:color w:val="auto"/>
                    </w:rPr>
                    <w:t>等效连续A声级</w:t>
                  </w:r>
                </w:p>
              </w:tc>
              <w:tc>
                <w:tcPr>
                  <w:tcW w:w="1838" w:type="dxa"/>
                  <w:tcBorders>
                    <w:tl2br w:val="nil"/>
                    <w:tr2bl w:val="nil"/>
                  </w:tcBorders>
                  <w:vAlign w:val="center"/>
                </w:tcPr>
                <w:p w14:paraId="42AE55D4">
                  <w:pPr>
                    <w:pStyle w:val="33"/>
                    <w:rPr>
                      <w:color w:val="auto"/>
                    </w:rPr>
                  </w:pPr>
                  <w:r>
                    <w:rPr>
                      <w:rFonts w:hint="eastAsia"/>
                      <w:color w:val="auto"/>
                    </w:rPr>
                    <w:t>每季度1次</w:t>
                  </w:r>
                </w:p>
              </w:tc>
              <w:tc>
                <w:tcPr>
                  <w:tcW w:w="2175" w:type="dxa"/>
                  <w:tcBorders>
                    <w:tl2br w:val="nil"/>
                    <w:tr2bl w:val="nil"/>
                  </w:tcBorders>
                  <w:vAlign w:val="center"/>
                </w:tcPr>
                <w:p w14:paraId="351F6C9A">
                  <w:pPr>
                    <w:pStyle w:val="33"/>
                    <w:rPr>
                      <w:color w:val="auto"/>
                    </w:rPr>
                  </w:pPr>
                  <w:r>
                    <w:rPr>
                      <w:rFonts w:hint="eastAsia"/>
                      <w:color w:val="auto"/>
                    </w:rPr>
                    <w:t>《工业企业厂界环境噪声排放标准》（GB12348-2008）3类标准</w:t>
                  </w:r>
                </w:p>
              </w:tc>
            </w:tr>
          </w:tbl>
          <w:p w14:paraId="471BC938">
            <w:pPr>
              <w:ind w:firstLine="482"/>
              <w:rPr>
                <w:b/>
                <w:bCs/>
                <w:color w:val="auto"/>
              </w:rPr>
            </w:pPr>
            <w:r>
              <w:rPr>
                <w:rFonts w:hint="eastAsia"/>
                <w:b/>
                <w:bCs/>
                <w:color w:val="auto"/>
              </w:rPr>
              <w:t>4、固体废物环境影响和保护措施</w:t>
            </w:r>
          </w:p>
          <w:p w14:paraId="10034B34">
            <w:pPr>
              <w:ind w:firstLine="482"/>
              <w:rPr>
                <w:b/>
                <w:bCs/>
                <w:color w:val="auto"/>
              </w:rPr>
            </w:pPr>
            <w:r>
              <w:rPr>
                <w:rFonts w:hint="eastAsia"/>
                <w:b/>
                <w:bCs/>
                <w:color w:val="auto"/>
              </w:rPr>
              <w:t>（1）</w:t>
            </w:r>
            <w:r>
              <w:rPr>
                <w:b/>
                <w:bCs/>
                <w:color w:val="auto"/>
              </w:rPr>
              <w:t>固体废物产生情况</w:t>
            </w:r>
          </w:p>
          <w:p w14:paraId="6968C5E8">
            <w:pPr>
              <w:ind w:firstLine="480"/>
              <w:rPr>
                <w:color w:val="auto"/>
              </w:rPr>
            </w:pPr>
            <w:r>
              <w:rPr>
                <w:color w:val="auto"/>
              </w:rPr>
              <w:t>本项目运营期产生的固体废物主要包括生活垃圾、废包装材料、原料清洗及挑选废料、食品残渣及含油过滤残渣、不合格产品、隔油浮渣及沉淀物和污水处理污泥等。</w:t>
            </w:r>
          </w:p>
          <w:p w14:paraId="737D4213">
            <w:pPr>
              <w:ind w:firstLine="480"/>
              <w:rPr>
                <w:color w:val="auto"/>
              </w:rPr>
            </w:pPr>
            <w:r>
              <w:rPr>
                <w:color w:val="auto"/>
              </w:rPr>
              <w:t>1）生活垃圾</w:t>
            </w:r>
          </w:p>
          <w:p w14:paraId="275CC937">
            <w:pPr>
              <w:ind w:firstLine="480"/>
              <w:rPr>
                <w:b/>
                <w:bCs/>
                <w:color w:val="auto"/>
              </w:rPr>
            </w:pPr>
            <w:r>
              <w:rPr>
                <w:color w:val="auto"/>
              </w:rPr>
              <w:t>本项目劳动定员</w:t>
            </w:r>
            <w:r>
              <w:rPr>
                <w:rFonts w:hint="eastAsia"/>
                <w:color w:val="auto"/>
              </w:rPr>
              <w:t>33人</w:t>
            </w:r>
            <w:r>
              <w:rPr>
                <w:color w:val="auto"/>
              </w:rPr>
              <w:t>，年工作</w:t>
            </w:r>
            <w:r>
              <w:rPr>
                <w:rFonts w:hint="eastAsia"/>
                <w:color w:val="auto"/>
              </w:rPr>
              <w:t>290</w:t>
            </w:r>
            <w:r>
              <w:rPr>
                <w:color w:val="auto"/>
              </w:rPr>
              <w:t>天。参考《生活垃圾产生量计算及预测方法》（CJ/T 106-2016）及同类不住宿工业企业员工生活垃圾产生情况，员工生活垃圾产生量按0.5 kg/（人·d）估算。则项目生活垃圾产生量为</w:t>
            </w:r>
            <w:r>
              <w:rPr>
                <w:rFonts w:hint="eastAsia"/>
                <w:color w:val="auto"/>
              </w:rPr>
              <w:t>4.785t/a，生活垃圾经厂区垃圾桶分类收集后，委托环卫部门统一清运处理。</w:t>
            </w:r>
          </w:p>
          <w:p w14:paraId="2DA015A1">
            <w:pPr>
              <w:ind w:firstLine="480"/>
              <w:rPr>
                <w:color w:val="auto"/>
              </w:rPr>
            </w:pPr>
            <w:r>
              <w:rPr>
                <w:rFonts w:hint="eastAsia"/>
                <w:color w:val="auto"/>
              </w:rPr>
              <w:t>2）原料清洗及挑选废料</w:t>
            </w:r>
          </w:p>
          <w:p w14:paraId="716A8260">
            <w:pPr>
              <w:keepNext w:val="0"/>
              <w:keepLines w:val="0"/>
              <w:pageBreakBefore w:val="0"/>
              <w:widowControl w:val="0"/>
              <w:kinsoku/>
              <w:wordWrap w:val="0"/>
              <w:overflowPunct/>
              <w:topLinePunct w:val="0"/>
              <w:autoSpaceDE/>
              <w:autoSpaceDN/>
              <w:bidi w:val="0"/>
              <w:adjustRightInd/>
              <w:snapToGrid/>
              <w:ind w:firstLine="480"/>
              <w:textAlignment w:val="auto"/>
              <w:rPr>
                <w:color w:val="auto"/>
              </w:rPr>
            </w:pPr>
            <w:r>
              <w:rPr>
                <w:color w:val="auto"/>
              </w:rPr>
              <w:t>本项目辣椒、姜、蒜、葱等需清洗、挑选的原料用量合计约1.441t/a</w:t>
            </w:r>
            <w:r>
              <w:rPr>
                <w:rFonts w:hint="eastAsia"/>
                <w:color w:val="auto"/>
                <w:lang w:eastAsia="zh-CN"/>
              </w:rPr>
              <w:t>，</w:t>
            </w:r>
            <w:r>
              <w:rPr>
                <w:color w:val="auto"/>
              </w:rPr>
              <w:t>参考《泰兴新味乐食品有限公司年生产复合调味品10000吨、预制食品3500吨项目（一期）环境影响报告表》</w:t>
            </w:r>
            <w:r>
              <w:rPr>
                <w:rFonts w:hint="eastAsia"/>
                <w:color w:val="auto"/>
              </w:rPr>
              <w:t>https://www.taixing.gov.cn/cms_files/filemanager/2093841808/attach/202511/b4d61a7e19ab45439d4c0be4bf6e27a3.pdf</w:t>
            </w:r>
            <w:r>
              <w:rPr>
                <w:color w:val="auto"/>
              </w:rPr>
              <w:t>，</w:t>
            </w:r>
            <w:r>
              <w:rPr>
                <w:color w:val="auto"/>
              </w:rPr>
              <w:t>原料清洗及挑选损耗率按1%计，则原料废料产生量约为0.014t/a。该部分废物分类收集后暂存于一般固废暂存区，定期交环卫部门或一般固废处置单位处理。</w:t>
            </w:r>
          </w:p>
          <w:p w14:paraId="1E188241">
            <w:pPr>
              <w:ind w:firstLine="480"/>
              <w:rPr>
                <w:color w:val="auto"/>
              </w:rPr>
            </w:pPr>
            <w:r>
              <w:rPr>
                <w:rFonts w:hint="eastAsia"/>
                <w:color w:val="auto"/>
              </w:rPr>
              <w:t>3）食品残渣及含油过滤残渣</w:t>
            </w:r>
          </w:p>
          <w:p w14:paraId="2D49C850">
            <w:pPr>
              <w:ind w:firstLine="480"/>
              <w:rPr>
                <w:color w:val="auto"/>
              </w:rPr>
            </w:pPr>
            <w:r>
              <w:rPr>
                <w:color w:val="auto"/>
              </w:rPr>
              <w:t>液态复合调味料及复合调味油生产过程中设置过滤、沉淀工序，涉及产品产量合计约6.45t/a，</w:t>
            </w:r>
            <w:r>
              <w:rPr>
                <w:color w:val="auto"/>
              </w:rPr>
              <w:t>参考《泰兴新味乐食品有限公司年生产复合调味品10000吨、预制食品3500吨项目（一期）环境影响报告表》</w:t>
            </w:r>
            <w:r>
              <w:rPr>
                <w:rFonts w:hint="eastAsia"/>
                <w:color w:val="auto"/>
                <w:lang w:eastAsia="zh-CN"/>
              </w:rPr>
              <w:t>，</w:t>
            </w:r>
            <w:r>
              <w:rPr>
                <w:color w:val="auto"/>
              </w:rPr>
              <w:t>过滤残渣产生量按产品量的2%估算，则食品残渣及含油过滤残渣产生量约为0.129t/a。该部分废物采用密闭容器收集，暂存于一般固废暂存区并及时清运。</w:t>
            </w:r>
          </w:p>
          <w:p w14:paraId="02967098">
            <w:pPr>
              <w:ind w:firstLine="480"/>
              <w:rPr>
                <w:b/>
                <w:bCs/>
                <w:color w:val="auto"/>
              </w:rPr>
            </w:pPr>
            <w:r>
              <w:rPr>
                <w:rFonts w:hint="eastAsia"/>
                <w:color w:val="auto"/>
              </w:rPr>
              <w:t>4）废包装材料</w:t>
            </w:r>
          </w:p>
          <w:p w14:paraId="606A2E4A">
            <w:pPr>
              <w:ind w:firstLine="480"/>
              <w:rPr>
                <w:color w:val="auto"/>
              </w:rPr>
            </w:pPr>
            <w:r>
              <w:rPr>
                <w:color w:val="auto"/>
              </w:rPr>
              <w:t>项目各类原辅料拆包过程中产生废塑料袋、废纸箱、废包装膜等废包装材料。项目原辅料年用量约123.76t/a，</w:t>
            </w:r>
            <w:r>
              <w:rPr>
                <w:color w:val="auto"/>
              </w:rPr>
              <w:t>参考《泰兴新味乐食品有限公司年生产复合调味品10000吨、预制食品3500吨项目（一期）环境影响报告表》</w:t>
            </w:r>
            <w:r>
              <w:rPr>
                <w:rFonts w:hint="eastAsia"/>
                <w:color w:val="auto"/>
                <w:lang w:eastAsia="zh-CN"/>
              </w:rPr>
              <w:t>，</w:t>
            </w:r>
            <w:r>
              <w:rPr>
                <w:color w:val="auto"/>
              </w:rPr>
              <w:t>废包装材料按原辅料使用量的0.5%估算，则产生量约为0.619t/a。具有回收利用价值的废包装材料分类收集后外售废品回收单位综合利用，其余妥善处置。</w:t>
            </w:r>
          </w:p>
          <w:p w14:paraId="647EBA21">
            <w:pPr>
              <w:ind w:firstLine="480"/>
              <w:rPr>
                <w:color w:val="auto"/>
              </w:rPr>
            </w:pPr>
            <w:r>
              <w:rPr>
                <w:rFonts w:hint="eastAsia"/>
                <w:color w:val="auto"/>
              </w:rPr>
              <w:t>5</w:t>
            </w:r>
            <w:r>
              <w:rPr>
                <w:color w:val="auto"/>
              </w:rPr>
              <w:t>）不合格产品</w:t>
            </w:r>
          </w:p>
          <w:p w14:paraId="6CB76E62">
            <w:pPr>
              <w:ind w:firstLine="480"/>
              <w:rPr>
                <w:color w:val="auto"/>
              </w:rPr>
            </w:pPr>
            <w:r>
              <w:rPr>
                <w:color w:val="auto"/>
              </w:rPr>
              <w:t>项目产品检验过程中产生少量不合格产品</w:t>
            </w:r>
            <w:r>
              <w:rPr>
                <w:rFonts w:hint="eastAsia"/>
                <w:color w:val="auto"/>
                <w:lang w:eastAsia="zh-CN"/>
              </w:rPr>
              <w:t>，</w:t>
            </w:r>
            <w:r>
              <w:rPr>
                <w:rFonts w:hint="eastAsia"/>
                <w:color w:val="auto"/>
                <w:lang w:val="en-US" w:eastAsia="zh-CN"/>
              </w:rPr>
              <w:t>参照《平江县劲仔食品有限公司新一代风味休闲食品研发中心项目环境影响报告表》</w:t>
            </w:r>
            <w:r>
              <w:rPr>
                <w:color w:val="auto"/>
              </w:rPr>
              <w:t>。</w:t>
            </w:r>
            <w:r>
              <w:rPr>
                <w:color w:val="auto"/>
              </w:rPr>
              <w:t>项目产品产量合计约127.33t/a，不合格率按0.1%计，则不合格产品产生量约为0.127t/a。该部分废物分类收集后暂存于一般固废暂存区，定期妥善处置。</w:t>
            </w:r>
          </w:p>
          <w:p w14:paraId="5412A31B">
            <w:pPr>
              <w:ind w:firstLine="480"/>
              <w:rPr>
                <w:color w:val="auto"/>
              </w:rPr>
            </w:pPr>
            <w:r>
              <w:rPr>
                <w:rFonts w:hint="eastAsia"/>
                <w:color w:val="auto"/>
              </w:rPr>
              <w:t>6</w:t>
            </w:r>
            <w:r>
              <w:rPr>
                <w:color w:val="auto"/>
              </w:rPr>
              <w:t>）隔油浮渣及沉淀物</w:t>
            </w:r>
          </w:p>
          <w:p w14:paraId="6A08263C">
            <w:pPr>
              <w:ind w:firstLine="480"/>
              <w:rPr>
                <w:rFonts w:hint="eastAsia"/>
                <w:color w:val="auto"/>
              </w:rPr>
            </w:pPr>
            <w:r>
              <w:rPr>
                <w:color w:val="auto"/>
              </w:rPr>
              <w:t>本项目生产废水</w:t>
            </w:r>
            <w:r>
              <w:rPr>
                <w:rFonts w:hint="eastAsia"/>
                <w:color w:val="auto"/>
                <w:lang w:eastAsia="zh-CN"/>
              </w:rPr>
              <w:t>经厂区自建污水处理设施“隔油沉淀+一体化A/O工艺”</w:t>
            </w:r>
            <w:r>
              <w:rPr>
                <w:color w:val="auto"/>
              </w:rPr>
              <w:t>处理，处理过程中会产生</w:t>
            </w:r>
            <w:r>
              <w:rPr>
                <w:color w:val="auto"/>
              </w:rPr>
              <w:t>少量隔油浮渣及沉淀物。根据前文生产废水污染物核算结果，生产废水中SS产生量约为0.</w:t>
            </w:r>
            <w:r>
              <w:rPr>
                <w:rFonts w:hint="eastAsia"/>
                <w:color w:val="auto"/>
                <w:lang w:val="en-US" w:eastAsia="zh-CN"/>
              </w:rPr>
              <w:t>3338</w:t>
            </w:r>
            <w:r>
              <w:rPr>
                <w:color w:val="auto"/>
              </w:rPr>
              <w:t>t/a，动植物油产生量约为0.0</w:t>
            </w:r>
            <w:r>
              <w:rPr>
                <w:rFonts w:hint="eastAsia"/>
                <w:color w:val="auto"/>
                <w:lang w:val="en-US" w:eastAsia="zh-CN"/>
              </w:rPr>
              <w:t>095</w:t>
            </w:r>
            <w:r>
              <w:rPr>
                <w:color w:val="auto"/>
              </w:rPr>
              <w:t>t/a</w:t>
            </w:r>
            <w:r>
              <w:rPr>
                <w:color w:val="auto"/>
              </w:rPr>
              <w:t>；</w:t>
            </w:r>
            <w:r>
              <w:rPr>
                <w:color w:val="auto"/>
              </w:rPr>
              <w:t>类比《泰兴新味乐食品有限公司年生产复合调味品10000吨、预制食品3500吨项目（一期）环境影响报告表》，隔油沉淀池对SS和动植物油的去除效率分别按10%和80%计。本项目生产废水中SS、动植物油产生量分别为0.3338t/a和0.0095t/a，则隔油沉淀物产生量约为0.0334t/a，废动植物油产生量约为0.0076t/a，合计0.0410t/a。</w:t>
            </w:r>
          </w:p>
          <w:p w14:paraId="771C0636">
            <w:pPr>
              <w:ind w:firstLine="480"/>
              <w:rPr>
                <w:rFonts w:hint="eastAsia"/>
                <w:color w:val="auto"/>
                <w:lang w:val="en-US" w:eastAsia="zh-CN"/>
              </w:rPr>
            </w:pPr>
            <w:r>
              <w:rPr>
                <w:rFonts w:hint="eastAsia"/>
                <w:color w:val="auto"/>
                <w:lang w:val="en-US" w:eastAsia="zh-CN"/>
              </w:rPr>
              <w:t>7）污水处理污泥</w:t>
            </w:r>
          </w:p>
          <w:p w14:paraId="0A33C360">
            <w:pPr>
              <w:ind w:firstLine="480"/>
              <w:rPr>
                <w:rFonts w:hint="eastAsia"/>
                <w:color w:val="auto"/>
                <w:lang w:val="en-US" w:eastAsia="zh-CN"/>
              </w:rPr>
            </w:pPr>
            <w:r>
              <w:rPr>
                <w:rFonts w:hint="eastAsia"/>
                <w:color w:val="auto"/>
                <w:lang w:val="en-US" w:eastAsia="zh-CN"/>
              </w:rPr>
              <w:t>项目A/O一体化污水处理设备运行过程中会产生一定量的剩余污泥。项目生产废水BOD</w:t>
            </w:r>
            <w:r>
              <w:rPr>
                <w:rFonts w:hint="eastAsia"/>
                <w:color w:val="auto"/>
                <w:vertAlign w:val="subscript"/>
                <w:lang w:val="en-US" w:eastAsia="zh-CN"/>
              </w:rPr>
              <w:t>5</w:t>
            </w:r>
            <w:r>
              <w:rPr>
                <w:rFonts w:hint="eastAsia"/>
                <w:color w:val="auto"/>
                <w:lang w:val="en-US" w:eastAsia="zh-CN"/>
              </w:rPr>
              <w:t>产生量约为0.2867t/a，处理后排放量约为0.0487t/a，BOD</w:t>
            </w:r>
            <w:r>
              <w:rPr>
                <w:rFonts w:hint="eastAsia"/>
                <w:color w:val="auto"/>
                <w:vertAlign w:val="subscript"/>
                <w:lang w:val="en-US" w:eastAsia="zh-CN"/>
              </w:rPr>
              <w:t>5</w:t>
            </w:r>
            <w:r>
              <w:rPr>
                <w:rFonts w:hint="eastAsia"/>
                <w:color w:val="auto"/>
                <w:lang w:val="en-US" w:eastAsia="zh-CN"/>
              </w:rPr>
              <w:t>去除量约为0.2380t/a。参照《厌氧—缺氧—好氧活性污泥法污水处理工程技术规范》（HJ 576—2010），设置初沉设施时污泥产率系数取值范围为0.3～0.6kg/kg-BOD</w:t>
            </w:r>
            <w:r>
              <w:rPr>
                <w:rFonts w:hint="eastAsia"/>
                <w:color w:val="auto"/>
                <w:vertAlign w:val="subscript"/>
                <w:lang w:val="en-US" w:eastAsia="zh-CN"/>
              </w:rPr>
              <w:t>5</w:t>
            </w:r>
            <w:r>
              <w:rPr>
                <w:rFonts w:hint="eastAsia"/>
                <w:color w:val="auto"/>
                <w:lang w:val="en-US" w:eastAsia="zh-CN"/>
              </w:rPr>
              <w:t>，本项目按上限0.6kg/kg-BOD</w:t>
            </w:r>
            <w:r>
              <w:rPr>
                <w:rFonts w:hint="eastAsia"/>
                <w:color w:val="auto"/>
                <w:vertAlign w:val="subscript"/>
                <w:lang w:val="en-US" w:eastAsia="zh-CN"/>
              </w:rPr>
              <w:t>5</w:t>
            </w:r>
            <w:r>
              <w:rPr>
                <w:rFonts w:hint="eastAsia"/>
                <w:color w:val="auto"/>
                <w:lang w:val="en-US" w:eastAsia="zh-CN"/>
              </w:rPr>
              <w:t>计，则剩余污泥产生量约为0.143t/a（干基）。污泥暂存于一体化污水处理设备配套污泥池或防渗漏密闭容器内，定期由有处理能力的单位清运、妥善处置，实际清掏量以项目运行管理台账为准。</w:t>
            </w:r>
          </w:p>
          <w:p w14:paraId="26986B41">
            <w:pPr>
              <w:ind w:firstLine="480"/>
              <w:rPr>
                <w:rFonts w:hint="eastAsia"/>
                <w:color w:val="auto"/>
                <w:lang w:val="en-US" w:eastAsia="zh-CN"/>
              </w:rPr>
            </w:pPr>
            <w:r>
              <w:rPr>
                <w:rFonts w:hint="eastAsia"/>
                <w:color w:val="auto"/>
                <w:lang w:val="en-US" w:eastAsia="zh-CN"/>
              </w:rPr>
              <w:t>8）废润滑油及含油抹布、劳保用品</w:t>
            </w:r>
          </w:p>
          <w:p w14:paraId="6AF1573B">
            <w:pPr>
              <w:ind w:firstLine="480"/>
              <w:rPr>
                <w:rFonts w:hint="default"/>
                <w:color w:val="auto"/>
                <w:lang w:val="en-US" w:eastAsia="zh-CN"/>
              </w:rPr>
            </w:pPr>
            <w:r>
              <w:rPr>
                <w:rFonts w:hint="default"/>
                <w:color w:val="auto"/>
                <w:lang w:val="en-US" w:eastAsia="zh-CN"/>
              </w:rPr>
              <w:t>根据生产设备维护保养频次及润滑油使用情况估算，设备维修保养过程中产生废润滑油约0.0100t/a。废润滑油属于危险废物，类别为HW08，代码为900-214-08，采用密闭防渗容器收集后暂存于危废贮存点，定期委托有危险废物处置资质的单位处理。</w:t>
            </w:r>
          </w:p>
          <w:p w14:paraId="281B0C2D">
            <w:pPr>
              <w:ind w:firstLine="480"/>
              <w:rPr>
                <w:rFonts w:hint="default"/>
                <w:color w:val="auto"/>
                <w:lang w:val="en-US" w:eastAsia="zh-CN"/>
              </w:rPr>
            </w:pPr>
            <w:r>
              <w:rPr>
                <w:rFonts w:hint="default"/>
                <w:color w:val="auto"/>
                <w:lang w:val="en-US" w:eastAsia="zh-CN"/>
              </w:rPr>
              <w:t>设备维修过程中产生含油抹布及劳保用品约0.0050t/a，属于HW49，代码为900-041-49。根据《国家危险废物名录（2025年版）》，该类废物在未分类收集的条件下可实行全过程豁免；本项目对其进行分类收集，因此按危险废物管理。</w:t>
            </w:r>
          </w:p>
          <w:p w14:paraId="7CC8C5AC">
            <w:pPr>
              <w:ind w:firstLine="480"/>
              <w:rPr>
                <w:rFonts w:hint="default"/>
                <w:color w:val="auto"/>
                <w:lang w:val="en-US" w:eastAsia="zh-CN"/>
              </w:rPr>
            </w:pPr>
            <w:r>
              <w:rPr>
                <w:rFonts w:hint="default"/>
                <w:color w:val="auto"/>
                <w:lang w:val="en-US" w:eastAsia="zh-CN"/>
              </w:rPr>
              <w:t>危险废物贮存点应符合《危险废物贮存污染控制标准》（GB 18597—2023）要求，采取防风、防雨、防晒、防渗漏措施，设置泄漏液体收集设施和危险废物识别标志，建立管理台账，并执行危险废物转移联单制度。</w:t>
            </w:r>
          </w:p>
          <w:p w14:paraId="55AFCD6C">
            <w:pPr>
              <w:pStyle w:val="35"/>
              <w:rPr>
                <w:rFonts w:hint="default"/>
                <w:color w:val="auto"/>
              </w:rPr>
            </w:pPr>
            <w:r>
              <w:rPr>
                <w:color w:val="auto"/>
              </w:rPr>
              <w:t>表4-13 本项目固体废物产生、处置情况一览表</w:t>
            </w:r>
          </w:p>
          <w:tbl>
            <w:tblPr>
              <w:tblStyle w:val="17"/>
              <w:tblW w:w="801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040"/>
              <w:gridCol w:w="777"/>
              <w:gridCol w:w="777"/>
              <w:gridCol w:w="777"/>
              <w:gridCol w:w="794"/>
              <w:gridCol w:w="1205"/>
              <w:gridCol w:w="814"/>
              <w:gridCol w:w="1316"/>
            </w:tblGrid>
            <w:tr w14:paraId="5777FB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tcBorders>
                    <w:tl2br w:val="nil"/>
                    <w:tr2bl w:val="nil"/>
                  </w:tcBorders>
                  <w:vAlign w:val="center"/>
                </w:tcPr>
                <w:p w14:paraId="54688B37">
                  <w:pPr>
                    <w:pStyle w:val="33"/>
                    <w:rPr>
                      <w:color w:val="auto"/>
                    </w:rPr>
                  </w:pPr>
                  <w:r>
                    <w:rPr>
                      <w:rFonts w:hint="eastAsia"/>
                      <w:color w:val="auto"/>
                    </w:rPr>
                    <w:t>序号</w:t>
                  </w:r>
                </w:p>
              </w:tc>
              <w:tc>
                <w:tcPr>
                  <w:tcW w:w="1040" w:type="dxa"/>
                  <w:tcBorders>
                    <w:tl2br w:val="nil"/>
                    <w:tr2bl w:val="nil"/>
                  </w:tcBorders>
                  <w:vAlign w:val="center"/>
                </w:tcPr>
                <w:p w14:paraId="49B194CC">
                  <w:pPr>
                    <w:pStyle w:val="33"/>
                    <w:rPr>
                      <w:color w:val="auto"/>
                    </w:rPr>
                  </w:pPr>
                  <w:r>
                    <w:rPr>
                      <w:rFonts w:hint="eastAsia"/>
                      <w:color w:val="auto"/>
                    </w:rPr>
                    <w:t>固废名称</w:t>
                  </w:r>
                </w:p>
              </w:tc>
              <w:tc>
                <w:tcPr>
                  <w:tcW w:w="777" w:type="dxa"/>
                  <w:tcBorders>
                    <w:tl2br w:val="nil"/>
                    <w:tr2bl w:val="nil"/>
                  </w:tcBorders>
                  <w:vAlign w:val="center"/>
                </w:tcPr>
                <w:p w14:paraId="3CA62B74">
                  <w:pPr>
                    <w:pStyle w:val="33"/>
                    <w:rPr>
                      <w:color w:val="auto"/>
                    </w:rPr>
                  </w:pPr>
                  <w:r>
                    <w:rPr>
                      <w:rFonts w:hint="eastAsia"/>
                      <w:color w:val="auto"/>
                    </w:rPr>
                    <w:t>固废属性</w:t>
                  </w:r>
                </w:p>
              </w:tc>
              <w:tc>
                <w:tcPr>
                  <w:tcW w:w="777" w:type="dxa"/>
                  <w:tcBorders>
                    <w:tl2br w:val="nil"/>
                    <w:tr2bl w:val="nil"/>
                  </w:tcBorders>
                  <w:vAlign w:val="center"/>
                </w:tcPr>
                <w:p w14:paraId="4DDDD6B5">
                  <w:pPr>
                    <w:pStyle w:val="33"/>
                    <w:rPr>
                      <w:color w:val="auto"/>
                    </w:rPr>
                  </w:pPr>
                  <w:r>
                    <w:rPr>
                      <w:rFonts w:hint="eastAsia"/>
                      <w:color w:val="auto"/>
                    </w:rPr>
                    <w:t>产生工序</w:t>
                  </w:r>
                </w:p>
              </w:tc>
              <w:tc>
                <w:tcPr>
                  <w:tcW w:w="777" w:type="dxa"/>
                  <w:tcBorders>
                    <w:tl2br w:val="nil"/>
                    <w:tr2bl w:val="nil"/>
                  </w:tcBorders>
                  <w:vAlign w:val="center"/>
                </w:tcPr>
                <w:p w14:paraId="5282C83A">
                  <w:pPr>
                    <w:pStyle w:val="33"/>
                    <w:rPr>
                      <w:color w:val="auto"/>
                    </w:rPr>
                  </w:pPr>
                  <w:r>
                    <w:rPr>
                      <w:rFonts w:hint="eastAsia"/>
                      <w:color w:val="auto"/>
                    </w:rPr>
                    <w:t>形态</w:t>
                  </w:r>
                </w:p>
              </w:tc>
              <w:tc>
                <w:tcPr>
                  <w:tcW w:w="794" w:type="dxa"/>
                  <w:tcBorders>
                    <w:tl2br w:val="nil"/>
                    <w:tr2bl w:val="nil"/>
                  </w:tcBorders>
                  <w:vAlign w:val="center"/>
                </w:tcPr>
                <w:p w14:paraId="7E48372D">
                  <w:pPr>
                    <w:pStyle w:val="33"/>
                    <w:rPr>
                      <w:color w:val="auto"/>
                    </w:rPr>
                  </w:pPr>
                  <w:r>
                    <w:rPr>
                      <w:rFonts w:hint="eastAsia"/>
                      <w:color w:val="auto"/>
                    </w:rPr>
                    <w:t>年产生量t/a</w:t>
                  </w:r>
                </w:p>
              </w:tc>
              <w:tc>
                <w:tcPr>
                  <w:tcW w:w="1205" w:type="dxa"/>
                  <w:tcBorders>
                    <w:tl2br w:val="nil"/>
                    <w:tr2bl w:val="nil"/>
                  </w:tcBorders>
                  <w:vAlign w:val="center"/>
                </w:tcPr>
                <w:p w14:paraId="3379BEF2">
                  <w:pPr>
                    <w:pStyle w:val="33"/>
                    <w:rPr>
                      <w:color w:val="auto"/>
                    </w:rPr>
                  </w:pPr>
                  <w:r>
                    <w:rPr>
                      <w:rFonts w:hint="eastAsia"/>
                      <w:color w:val="auto"/>
                    </w:rPr>
                    <w:t>废物类别及代码</w:t>
                  </w:r>
                </w:p>
              </w:tc>
              <w:tc>
                <w:tcPr>
                  <w:tcW w:w="814" w:type="dxa"/>
                  <w:tcBorders>
                    <w:tl2br w:val="nil"/>
                    <w:tr2bl w:val="nil"/>
                  </w:tcBorders>
                  <w:vAlign w:val="center"/>
                </w:tcPr>
                <w:p w14:paraId="609F1EA8">
                  <w:pPr>
                    <w:pStyle w:val="33"/>
                    <w:rPr>
                      <w:color w:val="auto"/>
                    </w:rPr>
                  </w:pPr>
                  <w:r>
                    <w:rPr>
                      <w:rFonts w:hint="eastAsia"/>
                      <w:color w:val="auto"/>
                    </w:rPr>
                    <w:t>贮存方式</w:t>
                  </w:r>
                </w:p>
              </w:tc>
              <w:tc>
                <w:tcPr>
                  <w:tcW w:w="1316" w:type="dxa"/>
                  <w:tcBorders>
                    <w:tl2br w:val="nil"/>
                    <w:tr2bl w:val="nil"/>
                  </w:tcBorders>
                  <w:vAlign w:val="center"/>
                </w:tcPr>
                <w:p w14:paraId="5367FD94">
                  <w:pPr>
                    <w:pStyle w:val="33"/>
                    <w:rPr>
                      <w:color w:val="auto"/>
                    </w:rPr>
                  </w:pPr>
                  <w:r>
                    <w:rPr>
                      <w:rFonts w:hint="eastAsia"/>
                      <w:color w:val="auto"/>
                    </w:rPr>
                    <w:t>污染防治措施</w:t>
                  </w:r>
                </w:p>
              </w:tc>
            </w:tr>
            <w:tr w14:paraId="375642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tcBorders>
                    <w:tl2br w:val="nil"/>
                    <w:tr2bl w:val="nil"/>
                  </w:tcBorders>
                  <w:vAlign w:val="center"/>
                </w:tcPr>
                <w:p w14:paraId="31056895">
                  <w:pPr>
                    <w:pStyle w:val="33"/>
                    <w:rPr>
                      <w:color w:val="auto"/>
                    </w:rPr>
                  </w:pPr>
                  <w:r>
                    <w:rPr>
                      <w:rFonts w:hint="eastAsia"/>
                      <w:color w:val="auto"/>
                    </w:rPr>
                    <w:t>1</w:t>
                  </w:r>
                </w:p>
              </w:tc>
              <w:tc>
                <w:tcPr>
                  <w:tcW w:w="1040" w:type="dxa"/>
                  <w:tcBorders>
                    <w:tl2br w:val="nil"/>
                    <w:tr2bl w:val="nil"/>
                  </w:tcBorders>
                  <w:vAlign w:val="center"/>
                </w:tcPr>
                <w:p w14:paraId="3789F12C">
                  <w:pPr>
                    <w:pStyle w:val="33"/>
                    <w:rPr>
                      <w:color w:val="auto"/>
                    </w:rPr>
                  </w:pPr>
                  <w:r>
                    <w:rPr>
                      <w:rFonts w:hint="eastAsia"/>
                      <w:color w:val="auto"/>
                    </w:rPr>
                    <w:t>生活垃圾</w:t>
                  </w:r>
                </w:p>
              </w:tc>
              <w:tc>
                <w:tcPr>
                  <w:tcW w:w="777" w:type="dxa"/>
                  <w:tcBorders>
                    <w:tl2br w:val="nil"/>
                    <w:tr2bl w:val="nil"/>
                  </w:tcBorders>
                  <w:vAlign w:val="center"/>
                </w:tcPr>
                <w:p w14:paraId="41F6050B">
                  <w:pPr>
                    <w:pStyle w:val="33"/>
                    <w:rPr>
                      <w:color w:val="auto"/>
                    </w:rPr>
                  </w:pPr>
                  <w:r>
                    <w:rPr>
                      <w:rFonts w:hint="eastAsia"/>
                      <w:color w:val="auto"/>
                    </w:rPr>
                    <w:t>/</w:t>
                  </w:r>
                </w:p>
              </w:tc>
              <w:tc>
                <w:tcPr>
                  <w:tcW w:w="777" w:type="dxa"/>
                  <w:tcBorders>
                    <w:tl2br w:val="nil"/>
                    <w:tr2bl w:val="nil"/>
                  </w:tcBorders>
                  <w:vAlign w:val="center"/>
                </w:tcPr>
                <w:p w14:paraId="162C4B98">
                  <w:pPr>
                    <w:pStyle w:val="33"/>
                    <w:rPr>
                      <w:color w:val="auto"/>
                    </w:rPr>
                  </w:pPr>
                  <w:r>
                    <w:rPr>
                      <w:rFonts w:hint="eastAsia"/>
                      <w:color w:val="auto"/>
                    </w:rPr>
                    <w:t>职工生活</w:t>
                  </w:r>
                </w:p>
              </w:tc>
              <w:tc>
                <w:tcPr>
                  <w:tcW w:w="777" w:type="dxa"/>
                  <w:tcBorders>
                    <w:tl2br w:val="nil"/>
                    <w:tr2bl w:val="nil"/>
                  </w:tcBorders>
                  <w:vAlign w:val="center"/>
                </w:tcPr>
                <w:p w14:paraId="3C5CBC78">
                  <w:pPr>
                    <w:pStyle w:val="33"/>
                    <w:rPr>
                      <w:color w:val="auto"/>
                    </w:rPr>
                  </w:pPr>
                  <w:r>
                    <w:rPr>
                      <w:rFonts w:hint="eastAsia"/>
                      <w:color w:val="auto"/>
                    </w:rPr>
                    <w:t>固态</w:t>
                  </w:r>
                </w:p>
              </w:tc>
              <w:tc>
                <w:tcPr>
                  <w:tcW w:w="794" w:type="dxa"/>
                  <w:tcBorders>
                    <w:tl2br w:val="nil"/>
                    <w:tr2bl w:val="nil"/>
                  </w:tcBorders>
                  <w:vAlign w:val="center"/>
                </w:tcPr>
                <w:p w14:paraId="4CB70E8D">
                  <w:pPr>
                    <w:pStyle w:val="33"/>
                    <w:rPr>
                      <w:color w:val="auto"/>
                    </w:rPr>
                  </w:pPr>
                  <w:r>
                    <w:rPr>
                      <w:rFonts w:hint="eastAsia"/>
                      <w:color w:val="auto"/>
                    </w:rPr>
                    <w:t>4.785</w:t>
                  </w:r>
                </w:p>
              </w:tc>
              <w:tc>
                <w:tcPr>
                  <w:tcW w:w="1205" w:type="dxa"/>
                  <w:tcBorders>
                    <w:tl2br w:val="nil"/>
                    <w:tr2bl w:val="nil"/>
                  </w:tcBorders>
                  <w:vAlign w:val="center"/>
                </w:tcPr>
                <w:p w14:paraId="25B61197">
                  <w:pPr>
                    <w:pStyle w:val="33"/>
                    <w:rPr>
                      <w:color w:val="auto"/>
                    </w:rPr>
                  </w:pPr>
                  <w:r>
                    <w:rPr>
                      <w:rFonts w:hint="eastAsia"/>
                      <w:color w:val="auto"/>
                    </w:rPr>
                    <w:t>/</w:t>
                  </w:r>
                </w:p>
              </w:tc>
              <w:tc>
                <w:tcPr>
                  <w:tcW w:w="814" w:type="dxa"/>
                  <w:tcBorders>
                    <w:tl2br w:val="nil"/>
                    <w:tr2bl w:val="nil"/>
                  </w:tcBorders>
                  <w:vAlign w:val="center"/>
                </w:tcPr>
                <w:p w14:paraId="54CD8394">
                  <w:pPr>
                    <w:pStyle w:val="33"/>
                    <w:rPr>
                      <w:color w:val="auto"/>
                    </w:rPr>
                  </w:pPr>
                  <w:r>
                    <w:rPr>
                      <w:rFonts w:hint="eastAsia"/>
                      <w:color w:val="auto"/>
                    </w:rPr>
                    <w:t>垃圾桶</w:t>
                  </w:r>
                </w:p>
              </w:tc>
              <w:tc>
                <w:tcPr>
                  <w:tcW w:w="1316" w:type="dxa"/>
                  <w:tcBorders>
                    <w:tl2br w:val="nil"/>
                    <w:tr2bl w:val="nil"/>
                  </w:tcBorders>
                  <w:vAlign w:val="center"/>
                </w:tcPr>
                <w:p w14:paraId="6B3DA7AB">
                  <w:pPr>
                    <w:pStyle w:val="33"/>
                    <w:rPr>
                      <w:color w:val="auto"/>
                    </w:rPr>
                  </w:pPr>
                  <w:r>
                    <w:rPr>
                      <w:color w:val="auto"/>
                    </w:rPr>
                    <w:t>分类收集后委托环卫部门统一清运</w:t>
                  </w:r>
                </w:p>
              </w:tc>
            </w:tr>
            <w:tr w14:paraId="16AF49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tcBorders>
                    <w:tl2br w:val="nil"/>
                    <w:tr2bl w:val="nil"/>
                  </w:tcBorders>
                  <w:vAlign w:val="center"/>
                </w:tcPr>
                <w:p w14:paraId="033B906C">
                  <w:pPr>
                    <w:pStyle w:val="33"/>
                    <w:rPr>
                      <w:color w:val="auto"/>
                    </w:rPr>
                  </w:pPr>
                  <w:r>
                    <w:rPr>
                      <w:rFonts w:hint="eastAsia"/>
                      <w:color w:val="auto"/>
                    </w:rPr>
                    <w:t>2</w:t>
                  </w:r>
                </w:p>
              </w:tc>
              <w:tc>
                <w:tcPr>
                  <w:tcW w:w="1040" w:type="dxa"/>
                  <w:tcBorders>
                    <w:tl2br w:val="nil"/>
                    <w:tr2bl w:val="nil"/>
                  </w:tcBorders>
                  <w:vAlign w:val="center"/>
                </w:tcPr>
                <w:p w14:paraId="1F203509">
                  <w:pPr>
                    <w:pStyle w:val="33"/>
                    <w:rPr>
                      <w:color w:val="auto"/>
                    </w:rPr>
                  </w:pPr>
                  <w:r>
                    <w:rPr>
                      <w:rFonts w:hint="eastAsia"/>
                      <w:color w:val="auto"/>
                    </w:rPr>
                    <w:t>废包装材料</w:t>
                  </w:r>
                </w:p>
              </w:tc>
              <w:tc>
                <w:tcPr>
                  <w:tcW w:w="777" w:type="dxa"/>
                  <w:vMerge w:val="restart"/>
                  <w:tcBorders>
                    <w:tl2br w:val="nil"/>
                    <w:tr2bl w:val="nil"/>
                  </w:tcBorders>
                  <w:vAlign w:val="center"/>
                </w:tcPr>
                <w:p w14:paraId="319F5DC9">
                  <w:pPr>
                    <w:pStyle w:val="33"/>
                    <w:rPr>
                      <w:color w:val="auto"/>
                    </w:rPr>
                  </w:pPr>
                  <w:r>
                    <w:rPr>
                      <w:rFonts w:hint="eastAsia"/>
                      <w:color w:val="auto"/>
                    </w:rPr>
                    <w:t>一般固体废物</w:t>
                  </w:r>
                </w:p>
              </w:tc>
              <w:tc>
                <w:tcPr>
                  <w:tcW w:w="777" w:type="dxa"/>
                  <w:tcBorders>
                    <w:tl2br w:val="nil"/>
                    <w:tr2bl w:val="nil"/>
                  </w:tcBorders>
                  <w:vAlign w:val="center"/>
                </w:tcPr>
                <w:p w14:paraId="49DDA563">
                  <w:pPr>
                    <w:pStyle w:val="33"/>
                    <w:rPr>
                      <w:color w:val="auto"/>
                    </w:rPr>
                  </w:pPr>
                  <w:r>
                    <w:rPr>
                      <w:rFonts w:hint="eastAsia"/>
                      <w:color w:val="auto"/>
                    </w:rPr>
                    <w:t>原辅料包装</w:t>
                  </w:r>
                </w:p>
              </w:tc>
              <w:tc>
                <w:tcPr>
                  <w:tcW w:w="777" w:type="dxa"/>
                  <w:tcBorders>
                    <w:tl2br w:val="nil"/>
                    <w:tr2bl w:val="nil"/>
                  </w:tcBorders>
                  <w:vAlign w:val="center"/>
                </w:tcPr>
                <w:p w14:paraId="571E97BD">
                  <w:pPr>
                    <w:pStyle w:val="33"/>
                    <w:rPr>
                      <w:color w:val="auto"/>
                    </w:rPr>
                  </w:pPr>
                  <w:r>
                    <w:rPr>
                      <w:color w:val="auto"/>
                    </w:rPr>
                    <w:t>固态</w:t>
                  </w:r>
                </w:p>
              </w:tc>
              <w:tc>
                <w:tcPr>
                  <w:tcW w:w="794" w:type="dxa"/>
                  <w:tcBorders>
                    <w:tl2br w:val="nil"/>
                    <w:tr2bl w:val="nil"/>
                  </w:tcBorders>
                  <w:vAlign w:val="center"/>
                </w:tcPr>
                <w:p w14:paraId="4BB00028">
                  <w:pPr>
                    <w:pStyle w:val="33"/>
                    <w:rPr>
                      <w:rFonts w:hint="default" w:eastAsia="宋体"/>
                      <w:color w:val="auto"/>
                      <w:lang w:val="en-US" w:eastAsia="zh-CN"/>
                    </w:rPr>
                  </w:pPr>
                  <w:r>
                    <w:rPr>
                      <w:rFonts w:hint="eastAsia"/>
                      <w:color w:val="auto"/>
                    </w:rPr>
                    <w:t>0.61</w:t>
                  </w:r>
                  <w:r>
                    <w:rPr>
                      <w:rFonts w:hint="eastAsia"/>
                      <w:color w:val="auto"/>
                      <w:lang w:val="en-US" w:eastAsia="zh-CN"/>
                    </w:rPr>
                    <w:t>88</w:t>
                  </w:r>
                </w:p>
              </w:tc>
              <w:tc>
                <w:tcPr>
                  <w:tcW w:w="1205" w:type="dxa"/>
                  <w:tcBorders>
                    <w:tl2br w:val="nil"/>
                    <w:tr2bl w:val="nil"/>
                  </w:tcBorders>
                  <w:vAlign w:val="center"/>
                </w:tcPr>
                <w:p w14:paraId="3A02D7D9">
                  <w:pPr>
                    <w:pStyle w:val="33"/>
                    <w:bidi w:val="0"/>
                    <w:rPr>
                      <w:color w:val="auto"/>
                    </w:rPr>
                  </w:pPr>
                  <w:r>
                    <w:rPr>
                      <w:rFonts w:hint="eastAsia"/>
                      <w:color w:val="auto"/>
                    </w:rPr>
                    <w:t>SW17</w:t>
                  </w:r>
                </w:p>
                <w:p w14:paraId="1A1F6717">
                  <w:pPr>
                    <w:pStyle w:val="33"/>
                    <w:bidi w:val="0"/>
                    <w:rPr>
                      <w:color w:val="auto"/>
                    </w:rPr>
                  </w:pPr>
                  <w:r>
                    <w:rPr>
                      <w:rFonts w:hint="eastAsia"/>
                      <w:color w:val="auto"/>
                    </w:rPr>
                    <w:t>900-003-S17</w:t>
                  </w:r>
                </w:p>
              </w:tc>
              <w:tc>
                <w:tcPr>
                  <w:tcW w:w="814" w:type="dxa"/>
                  <w:vMerge w:val="restart"/>
                  <w:tcBorders>
                    <w:tl2br w:val="nil"/>
                    <w:tr2bl w:val="nil"/>
                  </w:tcBorders>
                  <w:vAlign w:val="center"/>
                </w:tcPr>
                <w:p w14:paraId="41C2AD3B">
                  <w:pPr>
                    <w:pStyle w:val="33"/>
                    <w:rPr>
                      <w:color w:val="auto"/>
                    </w:rPr>
                  </w:pPr>
                  <w:r>
                    <w:rPr>
                      <w:rFonts w:hint="eastAsia"/>
                      <w:color w:val="auto"/>
                    </w:rPr>
                    <w:t>一般固体废物暂存间</w:t>
                  </w:r>
                </w:p>
              </w:tc>
              <w:tc>
                <w:tcPr>
                  <w:tcW w:w="1316" w:type="dxa"/>
                  <w:tcBorders>
                    <w:tl2br w:val="nil"/>
                    <w:tr2bl w:val="nil"/>
                  </w:tcBorders>
                  <w:vAlign w:val="center"/>
                </w:tcPr>
                <w:p w14:paraId="647C7C09">
                  <w:pPr>
                    <w:pStyle w:val="33"/>
                    <w:rPr>
                      <w:color w:val="auto"/>
                    </w:rPr>
                  </w:pPr>
                  <w:r>
                    <w:rPr>
                      <w:color w:val="auto"/>
                    </w:rPr>
                    <w:t>分类收集，可回收部分外售废品回收单位综合利用</w:t>
                  </w:r>
                </w:p>
              </w:tc>
            </w:tr>
            <w:tr w14:paraId="114EFE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tcBorders>
                    <w:tl2br w:val="nil"/>
                    <w:tr2bl w:val="nil"/>
                  </w:tcBorders>
                  <w:vAlign w:val="center"/>
                </w:tcPr>
                <w:p w14:paraId="5DAA349B">
                  <w:pPr>
                    <w:pStyle w:val="33"/>
                    <w:rPr>
                      <w:color w:val="auto"/>
                    </w:rPr>
                  </w:pPr>
                  <w:r>
                    <w:rPr>
                      <w:rFonts w:hint="eastAsia"/>
                      <w:color w:val="auto"/>
                    </w:rPr>
                    <w:t>3</w:t>
                  </w:r>
                </w:p>
              </w:tc>
              <w:tc>
                <w:tcPr>
                  <w:tcW w:w="1040" w:type="dxa"/>
                  <w:tcBorders>
                    <w:tl2br w:val="nil"/>
                    <w:tr2bl w:val="nil"/>
                  </w:tcBorders>
                  <w:vAlign w:val="center"/>
                </w:tcPr>
                <w:p w14:paraId="65B11871">
                  <w:pPr>
                    <w:pStyle w:val="33"/>
                    <w:rPr>
                      <w:color w:val="auto"/>
                    </w:rPr>
                  </w:pPr>
                  <w:r>
                    <w:rPr>
                      <w:color w:val="auto"/>
                    </w:rPr>
                    <w:t>原料清洗及挑选废料</w:t>
                  </w:r>
                </w:p>
              </w:tc>
              <w:tc>
                <w:tcPr>
                  <w:tcW w:w="777" w:type="dxa"/>
                  <w:vMerge w:val="continue"/>
                  <w:tcBorders>
                    <w:tl2br w:val="nil"/>
                    <w:tr2bl w:val="nil"/>
                  </w:tcBorders>
                  <w:vAlign w:val="center"/>
                </w:tcPr>
                <w:p w14:paraId="560383BC">
                  <w:pPr>
                    <w:pStyle w:val="33"/>
                    <w:rPr>
                      <w:color w:val="auto"/>
                    </w:rPr>
                  </w:pPr>
                </w:p>
              </w:tc>
              <w:tc>
                <w:tcPr>
                  <w:tcW w:w="777" w:type="dxa"/>
                  <w:tcBorders>
                    <w:tl2br w:val="nil"/>
                    <w:tr2bl w:val="nil"/>
                  </w:tcBorders>
                  <w:vAlign w:val="center"/>
                </w:tcPr>
                <w:p w14:paraId="5FE1B795">
                  <w:pPr>
                    <w:pStyle w:val="33"/>
                    <w:rPr>
                      <w:color w:val="auto"/>
                    </w:rPr>
                  </w:pPr>
                  <w:r>
                    <w:rPr>
                      <w:rFonts w:hint="eastAsia"/>
                      <w:color w:val="auto"/>
                    </w:rPr>
                    <w:t>清洗、预处理</w:t>
                  </w:r>
                </w:p>
              </w:tc>
              <w:tc>
                <w:tcPr>
                  <w:tcW w:w="777" w:type="dxa"/>
                  <w:tcBorders>
                    <w:tl2br w:val="nil"/>
                    <w:tr2bl w:val="nil"/>
                  </w:tcBorders>
                  <w:vAlign w:val="center"/>
                </w:tcPr>
                <w:p w14:paraId="714CCBBB">
                  <w:pPr>
                    <w:pStyle w:val="33"/>
                    <w:rPr>
                      <w:color w:val="auto"/>
                    </w:rPr>
                  </w:pPr>
                  <w:r>
                    <w:rPr>
                      <w:color w:val="auto"/>
                    </w:rPr>
                    <w:t>固态</w:t>
                  </w:r>
                </w:p>
              </w:tc>
              <w:tc>
                <w:tcPr>
                  <w:tcW w:w="794" w:type="dxa"/>
                  <w:tcBorders>
                    <w:tl2br w:val="nil"/>
                    <w:tr2bl w:val="nil"/>
                  </w:tcBorders>
                  <w:vAlign w:val="center"/>
                </w:tcPr>
                <w:p w14:paraId="2A30C7C3">
                  <w:pPr>
                    <w:pStyle w:val="33"/>
                    <w:rPr>
                      <w:rFonts w:hint="eastAsia" w:eastAsia="宋体"/>
                      <w:color w:val="auto"/>
                      <w:lang w:val="en-US" w:eastAsia="zh-CN"/>
                    </w:rPr>
                  </w:pPr>
                  <w:r>
                    <w:rPr>
                      <w:rFonts w:hint="eastAsia"/>
                      <w:color w:val="auto"/>
                    </w:rPr>
                    <w:t>0.014</w:t>
                  </w:r>
                  <w:r>
                    <w:rPr>
                      <w:rFonts w:hint="eastAsia"/>
                      <w:color w:val="auto"/>
                      <w:lang w:val="en-US" w:eastAsia="zh-CN"/>
                    </w:rPr>
                    <w:t>4</w:t>
                  </w:r>
                </w:p>
              </w:tc>
              <w:tc>
                <w:tcPr>
                  <w:tcW w:w="1205" w:type="dxa"/>
                  <w:tcBorders>
                    <w:tl2br w:val="nil"/>
                    <w:tr2bl w:val="nil"/>
                  </w:tcBorders>
                  <w:vAlign w:val="center"/>
                </w:tcPr>
                <w:p w14:paraId="2C6C3D03">
                  <w:pPr>
                    <w:pStyle w:val="33"/>
                    <w:bidi w:val="0"/>
                    <w:rPr>
                      <w:color w:val="auto"/>
                    </w:rPr>
                  </w:pPr>
                  <w:r>
                    <w:rPr>
                      <w:rFonts w:hint="eastAsia"/>
                      <w:color w:val="auto"/>
                    </w:rPr>
                    <w:t>SW13</w:t>
                  </w:r>
                </w:p>
                <w:p w14:paraId="4F6D6645">
                  <w:pPr>
                    <w:pStyle w:val="33"/>
                    <w:bidi w:val="0"/>
                    <w:rPr>
                      <w:color w:val="auto"/>
                    </w:rPr>
                  </w:pPr>
                  <w:r>
                    <w:rPr>
                      <w:rFonts w:hint="eastAsia"/>
                      <w:color w:val="auto"/>
                    </w:rPr>
                    <w:t>900-099-S13</w:t>
                  </w:r>
                </w:p>
              </w:tc>
              <w:tc>
                <w:tcPr>
                  <w:tcW w:w="814" w:type="dxa"/>
                  <w:vMerge w:val="continue"/>
                  <w:tcBorders>
                    <w:tl2br w:val="nil"/>
                    <w:tr2bl w:val="nil"/>
                  </w:tcBorders>
                  <w:vAlign w:val="center"/>
                </w:tcPr>
                <w:p w14:paraId="32F9382A">
                  <w:pPr>
                    <w:pStyle w:val="33"/>
                    <w:rPr>
                      <w:color w:val="auto"/>
                    </w:rPr>
                  </w:pPr>
                </w:p>
              </w:tc>
              <w:tc>
                <w:tcPr>
                  <w:tcW w:w="1316" w:type="dxa"/>
                  <w:tcBorders>
                    <w:tl2br w:val="nil"/>
                    <w:tr2bl w:val="nil"/>
                  </w:tcBorders>
                  <w:vAlign w:val="center"/>
                </w:tcPr>
                <w:p w14:paraId="1DEC6798">
                  <w:pPr>
                    <w:pStyle w:val="33"/>
                    <w:rPr>
                      <w:color w:val="auto"/>
                    </w:rPr>
                  </w:pPr>
                  <w:r>
                    <w:rPr>
                      <w:color w:val="auto"/>
                    </w:rPr>
                    <w:t>分类收集后及时清运，交环卫部门或一般固废处置单位处理</w:t>
                  </w:r>
                </w:p>
              </w:tc>
            </w:tr>
            <w:tr w14:paraId="7038C6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tcBorders>
                    <w:tl2br w:val="nil"/>
                    <w:tr2bl w:val="nil"/>
                  </w:tcBorders>
                  <w:vAlign w:val="center"/>
                </w:tcPr>
                <w:p w14:paraId="1E9483E3">
                  <w:pPr>
                    <w:pStyle w:val="33"/>
                    <w:rPr>
                      <w:color w:val="auto"/>
                    </w:rPr>
                  </w:pPr>
                  <w:r>
                    <w:rPr>
                      <w:rFonts w:hint="eastAsia"/>
                      <w:color w:val="auto"/>
                    </w:rPr>
                    <w:t>4</w:t>
                  </w:r>
                </w:p>
              </w:tc>
              <w:tc>
                <w:tcPr>
                  <w:tcW w:w="1040" w:type="dxa"/>
                  <w:tcBorders>
                    <w:tl2br w:val="nil"/>
                    <w:tr2bl w:val="nil"/>
                  </w:tcBorders>
                  <w:vAlign w:val="center"/>
                </w:tcPr>
                <w:p w14:paraId="42944AE5">
                  <w:pPr>
                    <w:pStyle w:val="33"/>
                    <w:rPr>
                      <w:color w:val="auto"/>
                    </w:rPr>
                  </w:pPr>
                  <w:r>
                    <w:rPr>
                      <w:color w:val="auto"/>
                    </w:rPr>
                    <w:t>食品残渣及含油过滤残渣</w:t>
                  </w:r>
                </w:p>
              </w:tc>
              <w:tc>
                <w:tcPr>
                  <w:tcW w:w="777" w:type="dxa"/>
                  <w:vMerge w:val="continue"/>
                  <w:tcBorders>
                    <w:tl2br w:val="nil"/>
                    <w:tr2bl w:val="nil"/>
                  </w:tcBorders>
                  <w:vAlign w:val="center"/>
                </w:tcPr>
                <w:p w14:paraId="4E0A0C35">
                  <w:pPr>
                    <w:pStyle w:val="33"/>
                    <w:rPr>
                      <w:color w:val="auto"/>
                    </w:rPr>
                  </w:pPr>
                </w:p>
              </w:tc>
              <w:tc>
                <w:tcPr>
                  <w:tcW w:w="777" w:type="dxa"/>
                  <w:tcBorders>
                    <w:tl2br w:val="nil"/>
                    <w:tr2bl w:val="nil"/>
                  </w:tcBorders>
                  <w:vAlign w:val="center"/>
                </w:tcPr>
                <w:p w14:paraId="72831EFF">
                  <w:pPr>
                    <w:pStyle w:val="33"/>
                    <w:rPr>
                      <w:color w:val="auto"/>
                    </w:rPr>
                  </w:pPr>
                  <w:r>
                    <w:rPr>
                      <w:rFonts w:hint="eastAsia"/>
                      <w:color w:val="auto"/>
                    </w:rPr>
                    <w:t>过滤、沉淀</w:t>
                  </w:r>
                </w:p>
              </w:tc>
              <w:tc>
                <w:tcPr>
                  <w:tcW w:w="777" w:type="dxa"/>
                  <w:tcBorders>
                    <w:tl2br w:val="nil"/>
                    <w:tr2bl w:val="nil"/>
                  </w:tcBorders>
                  <w:vAlign w:val="center"/>
                </w:tcPr>
                <w:p w14:paraId="2B49235C">
                  <w:pPr>
                    <w:pStyle w:val="33"/>
                    <w:rPr>
                      <w:color w:val="auto"/>
                    </w:rPr>
                  </w:pPr>
                  <w:r>
                    <w:rPr>
                      <w:color w:val="auto"/>
                    </w:rPr>
                    <w:t>固态</w:t>
                  </w:r>
                </w:p>
              </w:tc>
              <w:tc>
                <w:tcPr>
                  <w:tcW w:w="794" w:type="dxa"/>
                  <w:tcBorders>
                    <w:tl2br w:val="nil"/>
                    <w:tr2bl w:val="nil"/>
                  </w:tcBorders>
                  <w:vAlign w:val="center"/>
                </w:tcPr>
                <w:p w14:paraId="2FDE4AAD">
                  <w:pPr>
                    <w:pStyle w:val="33"/>
                    <w:rPr>
                      <w:color w:val="auto"/>
                    </w:rPr>
                  </w:pPr>
                  <w:r>
                    <w:rPr>
                      <w:rFonts w:hint="eastAsia"/>
                      <w:color w:val="auto"/>
                    </w:rPr>
                    <w:t>0.129</w:t>
                  </w:r>
                </w:p>
              </w:tc>
              <w:tc>
                <w:tcPr>
                  <w:tcW w:w="1205" w:type="dxa"/>
                  <w:tcBorders>
                    <w:tl2br w:val="nil"/>
                    <w:tr2bl w:val="nil"/>
                  </w:tcBorders>
                  <w:vAlign w:val="center"/>
                </w:tcPr>
                <w:p w14:paraId="7DE3A8E8">
                  <w:pPr>
                    <w:pStyle w:val="33"/>
                    <w:bidi w:val="0"/>
                    <w:rPr>
                      <w:color w:val="auto"/>
                    </w:rPr>
                  </w:pPr>
                  <w:r>
                    <w:rPr>
                      <w:rFonts w:hint="eastAsia"/>
                      <w:color w:val="auto"/>
                    </w:rPr>
                    <w:t>SW13</w:t>
                  </w:r>
                </w:p>
                <w:p w14:paraId="21D3D939">
                  <w:pPr>
                    <w:pStyle w:val="33"/>
                    <w:bidi w:val="0"/>
                    <w:rPr>
                      <w:color w:val="auto"/>
                    </w:rPr>
                  </w:pPr>
                  <w:r>
                    <w:rPr>
                      <w:rFonts w:hint="eastAsia"/>
                      <w:color w:val="auto"/>
                    </w:rPr>
                    <w:t>900-099-S13</w:t>
                  </w:r>
                </w:p>
              </w:tc>
              <w:tc>
                <w:tcPr>
                  <w:tcW w:w="814" w:type="dxa"/>
                  <w:vMerge w:val="continue"/>
                  <w:tcBorders>
                    <w:tl2br w:val="nil"/>
                    <w:tr2bl w:val="nil"/>
                  </w:tcBorders>
                  <w:vAlign w:val="center"/>
                </w:tcPr>
                <w:p w14:paraId="57412CCF">
                  <w:pPr>
                    <w:pStyle w:val="33"/>
                    <w:rPr>
                      <w:color w:val="auto"/>
                    </w:rPr>
                  </w:pPr>
                </w:p>
              </w:tc>
              <w:tc>
                <w:tcPr>
                  <w:tcW w:w="1316" w:type="dxa"/>
                  <w:tcBorders>
                    <w:tl2br w:val="nil"/>
                    <w:tr2bl w:val="nil"/>
                  </w:tcBorders>
                  <w:vAlign w:val="center"/>
                </w:tcPr>
                <w:p w14:paraId="7A60D783">
                  <w:pPr>
                    <w:pStyle w:val="33"/>
                    <w:rPr>
                      <w:color w:val="auto"/>
                    </w:rPr>
                  </w:pPr>
                  <w:r>
                    <w:rPr>
                      <w:color w:val="auto"/>
                    </w:rPr>
                    <w:t>密闭收集、及时清运，交有处理能力的单位妥善处置</w:t>
                  </w:r>
                </w:p>
              </w:tc>
            </w:tr>
            <w:tr w14:paraId="497AEC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tcBorders>
                    <w:tl2br w:val="nil"/>
                    <w:tr2bl w:val="nil"/>
                  </w:tcBorders>
                  <w:vAlign w:val="center"/>
                </w:tcPr>
                <w:p w14:paraId="4D1F78F0">
                  <w:pPr>
                    <w:pStyle w:val="33"/>
                    <w:rPr>
                      <w:color w:val="auto"/>
                    </w:rPr>
                  </w:pPr>
                  <w:r>
                    <w:rPr>
                      <w:rFonts w:hint="eastAsia"/>
                      <w:color w:val="auto"/>
                    </w:rPr>
                    <w:t>5</w:t>
                  </w:r>
                </w:p>
              </w:tc>
              <w:tc>
                <w:tcPr>
                  <w:tcW w:w="1040" w:type="dxa"/>
                  <w:tcBorders>
                    <w:tl2br w:val="nil"/>
                    <w:tr2bl w:val="nil"/>
                  </w:tcBorders>
                  <w:vAlign w:val="center"/>
                </w:tcPr>
                <w:p w14:paraId="4B6F7936">
                  <w:pPr>
                    <w:pStyle w:val="33"/>
                    <w:rPr>
                      <w:color w:val="auto"/>
                    </w:rPr>
                  </w:pPr>
                  <w:r>
                    <w:rPr>
                      <w:rFonts w:hint="eastAsia"/>
                      <w:color w:val="auto"/>
                    </w:rPr>
                    <w:t>不合格产品</w:t>
                  </w:r>
                </w:p>
              </w:tc>
              <w:tc>
                <w:tcPr>
                  <w:tcW w:w="777" w:type="dxa"/>
                  <w:vMerge w:val="continue"/>
                  <w:tcBorders>
                    <w:tl2br w:val="nil"/>
                    <w:tr2bl w:val="nil"/>
                  </w:tcBorders>
                  <w:vAlign w:val="center"/>
                </w:tcPr>
                <w:p w14:paraId="0E89E749">
                  <w:pPr>
                    <w:pStyle w:val="33"/>
                    <w:rPr>
                      <w:color w:val="auto"/>
                    </w:rPr>
                  </w:pPr>
                </w:p>
              </w:tc>
              <w:tc>
                <w:tcPr>
                  <w:tcW w:w="777" w:type="dxa"/>
                  <w:tcBorders>
                    <w:tl2br w:val="nil"/>
                    <w:tr2bl w:val="nil"/>
                  </w:tcBorders>
                  <w:vAlign w:val="center"/>
                </w:tcPr>
                <w:p w14:paraId="5B7A86C0">
                  <w:pPr>
                    <w:pStyle w:val="33"/>
                    <w:rPr>
                      <w:color w:val="auto"/>
                    </w:rPr>
                  </w:pPr>
                  <w:r>
                    <w:rPr>
                      <w:rFonts w:hint="eastAsia"/>
                      <w:color w:val="auto"/>
                    </w:rPr>
                    <w:t>产品检验</w:t>
                  </w:r>
                </w:p>
              </w:tc>
              <w:tc>
                <w:tcPr>
                  <w:tcW w:w="777" w:type="dxa"/>
                  <w:tcBorders>
                    <w:tl2br w:val="nil"/>
                    <w:tr2bl w:val="nil"/>
                  </w:tcBorders>
                  <w:vAlign w:val="center"/>
                </w:tcPr>
                <w:p w14:paraId="06906C8A">
                  <w:pPr>
                    <w:pStyle w:val="33"/>
                    <w:rPr>
                      <w:color w:val="auto"/>
                    </w:rPr>
                  </w:pPr>
                  <w:r>
                    <w:rPr>
                      <w:color w:val="auto"/>
                    </w:rPr>
                    <w:t>固态/半固态</w:t>
                  </w:r>
                </w:p>
              </w:tc>
              <w:tc>
                <w:tcPr>
                  <w:tcW w:w="794" w:type="dxa"/>
                  <w:tcBorders>
                    <w:tl2br w:val="nil"/>
                    <w:tr2bl w:val="nil"/>
                  </w:tcBorders>
                  <w:vAlign w:val="center"/>
                </w:tcPr>
                <w:p w14:paraId="6DA0961D">
                  <w:pPr>
                    <w:pStyle w:val="33"/>
                    <w:rPr>
                      <w:rFonts w:hint="eastAsia" w:eastAsia="宋体"/>
                      <w:color w:val="auto"/>
                      <w:lang w:val="en-US" w:eastAsia="zh-CN"/>
                    </w:rPr>
                  </w:pPr>
                  <w:r>
                    <w:rPr>
                      <w:rFonts w:hint="eastAsia"/>
                      <w:color w:val="auto"/>
                    </w:rPr>
                    <w:t>0.127</w:t>
                  </w:r>
                  <w:r>
                    <w:rPr>
                      <w:rFonts w:hint="eastAsia"/>
                      <w:color w:val="auto"/>
                      <w:lang w:val="en-US" w:eastAsia="zh-CN"/>
                    </w:rPr>
                    <w:t>3</w:t>
                  </w:r>
                </w:p>
              </w:tc>
              <w:tc>
                <w:tcPr>
                  <w:tcW w:w="1205" w:type="dxa"/>
                  <w:tcBorders>
                    <w:tl2br w:val="nil"/>
                    <w:tr2bl w:val="nil"/>
                  </w:tcBorders>
                  <w:vAlign w:val="center"/>
                </w:tcPr>
                <w:p w14:paraId="44ABC847">
                  <w:pPr>
                    <w:pStyle w:val="33"/>
                    <w:bidi w:val="0"/>
                    <w:rPr>
                      <w:color w:val="auto"/>
                    </w:rPr>
                  </w:pPr>
                  <w:r>
                    <w:rPr>
                      <w:rFonts w:hint="eastAsia"/>
                      <w:color w:val="auto"/>
                    </w:rPr>
                    <w:t>SW13</w:t>
                  </w:r>
                </w:p>
                <w:p w14:paraId="0D2F1B72">
                  <w:pPr>
                    <w:pStyle w:val="33"/>
                    <w:bidi w:val="0"/>
                    <w:rPr>
                      <w:color w:val="auto"/>
                    </w:rPr>
                  </w:pPr>
                  <w:r>
                    <w:rPr>
                      <w:rFonts w:hint="eastAsia"/>
                      <w:color w:val="auto"/>
                    </w:rPr>
                    <w:t>900-099-S13</w:t>
                  </w:r>
                </w:p>
              </w:tc>
              <w:tc>
                <w:tcPr>
                  <w:tcW w:w="814" w:type="dxa"/>
                  <w:vMerge w:val="continue"/>
                  <w:tcBorders>
                    <w:tl2br w:val="nil"/>
                    <w:tr2bl w:val="nil"/>
                  </w:tcBorders>
                  <w:vAlign w:val="center"/>
                </w:tcPr>
                <w:p w14:paraId="633C9B1C">
                  <w:pPr>
                    <w:pStyle w:val="33"/>
                    <w:rPr>
                      <w:color w:val="auto"/>
                    </w:rPr>
                  </w:pPr>
                </w:p>
              </w:tc>
              <w:tc>
                <w:tcPr>
                  <w:tcW w:w="1316" w:type="dxa"/>
                  <w:tcBorders>
                    <w:tl2br w:val="nil"/>
                    <w:tr2bl w:val="nil"/>
                  </w:tcBorders>
                  <w:vAlign w:val="center"/>
                </w:tcPr>
                <w:p w14:paraId="271771F1">
                  <w:pPr>
                    <w:pStyle w:val="33"/>
                    <w:rPr>
                      <w:color w:val="auto"/>
                    </w:rPr>
                  </w:pPr>
                  <w:r>
                    <w:rPr>
                      <w:color w:val="auto"/>
                    </w:rPr>
                    <w:t>分类收集后定期交环卫部门或一般固废处置单位处理</w:t>
                  </w:r>
                </w:p>
              </w:tc>
            </w:tr>
            <w:tr w14:paraId="1458F5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tcBorders>
                    <w:tl2br w:val="nil"/>
                    <w:tr2bl w:val="nil"/>
                  </w:tcBorders>
                  <w:vAlign w:val="center"/>
                </w:tcPr>
                <w:p w14:paraId="0BC3CBC7">
                  <w:pPr>
                    <w:pStyle w:val="33"/>
                    <w:rPr>
                      <w:color w:val="auto"/>
                    </w:rPr>
                  </w:pPr>
                  <w:r>
                    <w:rPr>
                      <w:rFonts w:hint="eastAsia"/>
                      <w:color w:val="auto"/>
                    </w:rPr>
                    <w:t>6</w:t>
                  </w:r>
                </w:p>
              </w:tc>
              <w:tc>
                <w:tcPr>
                  <w:tcW w:w="1040" w:type="dxa"/>
                  <w:tcBorders>
                    <w:tl2br w:val="nil"/>
                    <w:tr2bl w:val="nil"/>
                  </w:tcBorders>
                  <w:vAlign w:val="center"/>
                </w:tcPr>
                <w:p w14:paraId="716D38B4">
                  <w:pPr>
                    <w:pStyle w:val="33"/>
                    <w:rPr>
                      <w:color w:val="auto"/>
                    </w:rPr>
                  </w:pPr>
                  <w:r>
                    <w:rPr>
                      <w:color w:val="auto"/>
                    </w:rPr>
                    <w:t>隔油浮渣及沉淀物</w:t>
                  </w:r>
                </w:p>
              </w:tc>
              <w:tc>
                <w:tcPr>
                  <w:tcW w:w="777" w:type="dxa"/>
                  <w:vMerge w:val="continue"/>
                  <w:tcBorders>
                    <w:tl2br w:val="nil"/>
                    <w:tr2bl w:val="nil"/>
                  </w:tcBorders>
                  <w:vAlign w:val="center"/>
                </w:tcPr>
                <w:p w14:paraId="06254010">
                  <w:pPr>
                    <w:pStyle w:val="33"/>
                    <w:rPr>
                      <w:color w:val="auto"/>
                    </w:rPr>
                  </w:pPr>
                </w:p>
              </w:tc>
              <w:tc>
                <w:tcPr>
                  <w:tcW w:w="777" w:type="dxa"/>
                  <w:tcBorders>
                    <w:tl2br w:val="nil"/>
                    <w:tr2bl w:val="nil"/>
                  </w:tcBorders>
                  <w:vAlign w:val="center"/>
                </w:tcPr>
                <w:p w14:paraId="5E17643A">
                  <w:pPr>
                    <w:pStyle w:val="33"/>
                    <w:rPr>
                      <w:color w:val="auto"/>
                    </w:rPr>
                  </w:pPr>
                  <w:r>
                    <w:rPr>
                      <w:rFonts w:hint="eastAsia"/>
                      <w:color w:val="auto"/>
                    </w:rPr>
                    <w:t>废水处理</w:t>
                  </w:r>
                </w:p>
              </w:tc>
              <w:tc>
                <w:tcPr>
                  <w:tcW w:w="777" w:type="dxa"/>
                  <w:tcBorders>
                    <w:tl2br w:val="nil"/>
                    <w:tr2bl w:val="nil"/>
                  </w:tcBorders>
                  <w:vAlign w:val="center"/>
                </w:tcPr>
                <w:p w14:paraId="426CEAAC">
                  <w:pPr>
                    <w:pStyle w:val="33"/>
                    <w:rPr>
                      <w:color w:val="auto"/>
                    </w:rPr>
                  </w:pPr>
                  <w:r>
                    <w:rPr>
                      <w:color w:val="auto"/>
                    </w:rPr>
                    <w:t>固态</w:t>
                  </w:r>
                </w:p>
              </w:tc>
              <w:tc>
                <w:tcPr>
                  <w:tcW w:w="794" w:type="dxa"/>
                  <w:tcBorders>
                    <w:tl2br w:val="nil"/>
                    <w:tr2bl w:val="nil"/>
                  </w:tcBorders>
                  <w:vAlign w:val="center"/>
                </w:tcPr>
                <w:p w14:paraId="6773AE03">
                  <w:pPr>
                    <w:pStyle w:val="33"/>
                    <w:rPr>
                      <w:rFonts w:hint="default" w:eastAsia="宋体"/>
                      <w:color w:val="auto"/>
                      <w:lang w:val="en-US" w:eastAsia="zh-CN"/>
                    </w:rPr>
                  </w:pPr>
                  <w:r>
                    <w:rPr>
                      <w:rFonts w:hint="eastAsia"/>
                      <w:color w:val="auto"/>
                      <w:lang w:eastAsia="zh-CN"/>
                    </w:rPr>
                    <w:t>0.</w:t>
                  </w:r>
                  <w:r>
                    <w:rPr>
                      <w:rFonts w:hint="eastAsia"/>
                      <w:color w:val="auto"/>
                      <w:lang w:val="en-US" w:eastAsia="zh-CN"/>
                    </w:rPr>
                    <w:t>0410</w:t>
                  </w:r>
                </w:p>
              </w:tc>
              <w:tc>
                <w:tcPr>
                  <w:tcW w:w="1205" w:type="dxa"/>
                  <w:tcBorders>
                    <w:tl2br w:val="nil"/>
                    <w:tr2bl w:val="nil"/>
                  </w:tcBorders>
                  <w:vAlign w:val="center"/>
                </w:tcPr>
                <w:p w14:paraId="5BE787A6">
                  <w:pPr>
                    <w:pStyle w:val="33"/>
                    <w:bidi w:val="0"/>
                    <w:rPr>
                      <w:color w:val="auto"/>
                    </w:rPr>
                  </w:pPr>
                  <w:r>
                    <w:rPr>
                      <w:color w:val="auto"/>
                    </w:rPr>
                    <w:t>SW07</w:t>
                  </w:r>
                </w:p>
                <w:p w14:paraId="5C4BCDFC">
                  <w:pPr>
                    <w:pStyle w:val="33"/>
                    <w:bidi w:val="0"/>
                    <w:rPr>
                      <w:color w:val="auto"/>
                    </w:rPr>
                  </w:pPr>
                  <w:r>
                    <w:rPr>
                      <w:color w:val="auto"/>
                    </w:rPr>
                    <w:t>140-001-S07</w:t>
                  </w:r>
                </w:p>
              </w:tc>
              <w:tc>
                <w:tcPr>
                  <w:tcW w:w="814" w:type="dxa"/>
                  <w:tcBorders>
                    <w:tl2br w:val="nil"/>
                    <w:tr2bl w:val="nil"/>
                  </w:tcBorders>
                  <w:vAlign w:val="center"/>
                </w:tcPr>
                <w:p w14:paraId="632A1EDA">
                  <w:pPr>
                    <w:pStyle w:val="33"/>
                    <w:rPr>
                      <w:color w:val="auto"/>
                    </w:rPr>
                  </w:pPr>
                  <w:r>
                    <w:rPr>
                      <w:rFonts w:hint="eastAsia"/>
                      <w:color w:val="auto"/>
                    </w:rPr>
                    <w:t>密闭容器</w:t>
                  </w:r>
                </w:p>
              </w:tc>
              <w:tc>
                <w:tcPr>
                  <w:tcW w:w="1316" w:type="dxa"/>
                  <w:tcBorders>
                    <w:tl2br w:val="nil"/>
                    <w:tr2bl w:val="nil"/>
                  </w:tcBorders>
                  <w:vAlign w:val="center"/>
                </w:tcPr>
                <w:p w14:paraId="61EE7705">
                  <w:pPr>
                    <w:pStyle w:val="33"/>
                    <w:rPr>
                      <w:color w:val="auto"/>
                    </w:rPr>
                  </w:pPr>
                  <w:r>
                    <w:rPr>
                      <w:color w:val="auto"/>
                    </w:rPr>
                    <w:t>定期清掏、密闭收集，交有处理能力的单位妥善处置</w:t>
                  </w:r>
                </w:p>
              </w:tc>
            </w:tr>
            <w:tr w14:paraId="061779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tcBorders>
                    <w:tl2br w:val="nil"/>
                    <w:tr2bl w:val="nil"/>
                  </w:tcBorders>
                  <w:vAlign w:val="center"/>
                </w:tcPr>
                <w:p w14:paraId="7B9FE131">
                  <w:pPr>
                    <w:pStyle w:val="33"/>
                    <w:rPr>
                      <w:rFonts w:hint="eastAsia" w:eastAsia="宋体"/>
                      <w:color w:val="auto"/>
                      <w:lang w:val="en-US" w:eastAsia="zh-CN"/>
                    </w:rPr>
                  </w:pPr>
                  <w:r>
                    <w:rPr>
                      <w:rFonts w:hint="eastAsia"/>
                      <w:color w:val="auto"/>
                      <w:lang w:val="en-US" w:eastAsia="zh-CN"/>
                    </w:rPr>
                    <w:t>7</w:t>
                  </w:r>
                </w:p>
              </w:tc>
              <w:tc>
                <w:tcPr>
                  <w:tcW w:w="1040" w:type="dxa"/>
                  <w:tcBorders>
                    <w:tl2br w:val="nil"/>
                    <w:tr2bl w:val="nil"/>
                  </w:tcBorders>
                  <w:vAlign w:val="center"/>
                </w:tcPr>
                <w:p w14:paraId="75006114">
                  <w:pPr>
                    <w:pStyle w:val="33"/>
                    <w:rPr>
                      <w:rFonts w:hint="eastAsia" w:eastAsia="宋体"/>
                      <w:color w:val="auto"/>
                      <w:lang w:val="en-US" w:eastAsia="zh-CN"/>
                    </w:rPr>
                  </w:pPr>
                  <w:r>
                    <w:rPr>
                      <w:rFonts w:hint="eastAsia"/>
                      <w:color w:val="auto"/>
                      <w:lang w:val="en-US" w:eastAsia="zh-CN"/>
                    </w:rPr>
                    <w:t>污泥</w:t>
                  </w:r>
                </w:p>
              </w:tc>
              <w:tc>
                <w:tcPr>
                  <w:tcW w:w="777" w:type="dxa"/>
                  <w:vMerge w:val="continue"/>
                  <w:tcBorders>
                    <w:tl2br w:val="nil"/>
                    <w:tr2bl w:val="nil"/>
                  </w:tcBorders>
                  <w:vAlign w:val="center"/>
                </w:tcPr>
                <w:p w14:paraId="354FE826">
                  <w:pPr>
                    <w:pStyle w:val="33"/>
                    <w:rPr>
                      <w:color w:val="auto"/>
                    </w:rPr>
                  </w:pPr>
                </w:p>
              </w:tc>
              <w:tc>
                <w:tcPr>
                  <w:tcW w:w="777" w:type="dxa"/>
                  <w:tcBorders>
                    <w:tl2br w:val="nil"/>
                    <w:tr2bl w:val="nil"/>
                  </w:tcBorders>
                  <w:vAlign w:val="center"/>
                </w:tcPr>
                <w:p w14:paraId="38B6ED80">
                  <w:pPr>
                    <w:pStyle w:val="33"/>
                    <w:rPr>
                      <w:rFonts w:hint="eastAsia"/>
                      <w:color w:val="auto"/>
                    </w:rPr>
                  </w:pPr>
                  <w:r>
                    <w:rPr>
                      <w:rFonts w:hint="eastAsia"/>
                      <w:color w:val="auto"/>
                    </w:rPr>
                    <w:t>A/O一体化污水处理设备</w:t>
                  </w:r>
                </w:p>
              </w:tc>
              <w:tc>
                <w:tcPr>
                  <w:tcW w:w="777" w:type="dxa"/>
                  <w:tcBorders>
                    <w:tl2br w:val="nil"/>
                    <w:tr2bl w:val="nil"/>
                  </w:tcBorders>
                  <w:vAlign w:val="center"/>
                </w:tcPr>
                <w:p w14:paraId="02E8635F">
                  <w:pPr>
                    <w:pStyle w:val="33"/>
                    <w:rPr>
                      <w:rFonts w:hint="eastAsia" w:eastAsia="宋体"/>
                      <w:color w:val="auto"/>
                      <w:lang w:val="en-US" w:eastAsia="zh-CN"/>
                    </w:rPr>
                  </w:pPr>
                  <w:r>
                    <w:rPr>
                      <w:rFonts w:hint="eastAsia"/>
                      <w:color w:val="auto"/>
                      <w:lang w:val="en-US" w:eastAsia="zh-CN"/>
                    </w:rPr>
                    <w:t>半固态</w:t>
                  </w:r>
                </w:p>
              </w:tc>
              <w:tc>
                <w:tcPr>
                  <w:tcW w:w="794" w:type="dxa"/>
                  <w:tcBorders>
                    <w:tl2br w:val="nil"/>
                    <w:tr2bl w:val="nil"/>
                  </w:tcBorders>
                  <w:vAlign w:val="center"/>
                </w:tcPr>
                <w:p w14:paraId="509668E9">
                  <w:pPr>
                    <w:pStyle w:val="33"/>
                    <w:rPr>
                      <w:rFonts w:hint="default" w:eastAsia="宋体"/>
                      <w:color w:val="auto"/>
                      <w:lang w:val="en-US" w:eastAsia="zh-CN"/>
                    </w:rPr>
                  </w:pPr>
                  <w:r>
                    <w:rPr>
                      <w:rFonts w:hint="eastAsia"/>
                      <w:color w:val="auto"/>
                      <w:lang w:val="en-US" w:eastAsia="zh-CN"/>
                    </w:rPr>
                    <w:t>0.143</w:t>
                  </w:r>
                </w:p>
              </w:tc>
              <w:tc>
                <w:tcPr>
                  <w:tcW w:w="1205" w:type="dxa"/>
                  <w:tcBorders>
                    <w:tl2br w:val="nil"/>
                    <w:tr2bl w:val="nil"/>
                  </w:tcBorders>
                  <w:vAlign w:val="center"/>
                </w:tcPr>
                <w:p w14:paraId="5F1021D4">
                  <w:pPr>
                    <w:pStyle w:val="33"/>
                    <w:bidi w:val="0"/>
                    <w:rPr>
                      <w:color w:val="auto"/>
                    </w:rPr>
                  </w:pPr>
                  <w:r>
                    <w:rPr>
                      <w:color w:val="auto"/>
                    </w:rPr>
                    <w:t>SW07</w:t>
                  </w:r>
                </w:p>
                <w:p w14:paraId="406F7DA6">
                  <w:pPr>
                    <w:pStyle w:val="33"/>
                    <w:bidi w:val="0"/>
                    <w:rPr>
                      <w:color w:val="auto"/>
                    </w:rPr>
                  </w:pPr>
                  <w:r>
                    <w:rPr>
                      <w:color w:val="auto"/>
                    </w:rPr>
                    <w:t>140-001-S07</w:t>
                  </w:r>
                </w:p>
              </w:tc>
              <w:tc>
                <w:tcPr>
                  <w:tcW w:w="814" w:type="dxa"/>
                  <w:tcBorders>
                    <w:tl2br w:val="nil"/>
                    <w:tr2bl w:val="nil"/>
                  </w:tcBorders>
                  <w:vAlign w:val="center"/>
                </w:tcPr>
                <w:p w14:paraId="6EB5D183">
                  <w:pPr>
                    <w:pStyle w:val="33"/>
                    <w:rPr>
                      <w:rFonts w:hint="eastAsia"/>
                      <w:color w:val="auto"/>
                    </w:rPr>
                  </w:pPr>
                  <w:r>
                    <w:rPr>
                      <w:rFonts w:hint="eastAsia"/>
                      <w:color w:val="auto"/>
                    </w:rPr>
                    <w:t>污泥池或防渗漏密闭容器</w:t>
                  </w:r>
                </w:p>
              </w:tc>
              <w:tc>
                <w:tcPr>
                  <w:tcW w:w="1316" w:type="dxa"/>
                  <w:tcBorders>
                    <w:tl2br w:val="nil"/>
                    <w:tr2bl w:val="nil"/>
                  </w:tcBorders>
                  <w:vAlign w:val="center"/>
                </w:tcPr>
                <w:p w14:paraId="5E55481D">
                  <w:pPr>
                    <w:pStyle w:val="33"/>
                    <w:rPr>
                      <w:color w:val="auto"/>
                    </w:rPr>
                  </w:pPr>
                  <w:r>
                    <w:rPr>
                      <w:color w:val="auto"/>
                    </w:rPr>
                    <w:t>定期清掏并由有处理能力的单位清运、妥善处置</w:t>
                  </w:r>
                </w:p>
              </w:tc>
            </w:tr>
            <w:tr w14:paraId="020185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tcBorders>
                    <w:tl2br w:val="nil"/>
                    <w:tr2bl w:val="nil"/>
                  </w:tcBorders>
                  <w:vAlign w:val="center"/>
                </w:tcPr>
                <w:p w14:paraId="793C9F3C">
                  <w:pPr>
                    <w:pStyle w:val="33"/>
                    <w:rPr>
                      <w:rFonts w:hint="default"/>
                      <w:color w:val="auto"/>
                      <w:lang w:val="en-US" w:eastAsia="zh-CN"/>
                    </w:rPr>
                  </w:pPr>
                  <w:r>
                    <w:rPr>
                      <w:rFonts w:hint="eastAsia"/>
                      <w:color w:val="auto"/>
                      <w:lang w:val="en-US" w:eastAsia="zh-CN"/>
                    </w:rPr>
                    <w:t>8</w:t>
                  </w:r>
                </w:p>
              </w:tc>
              <w:tc>
                <w:tcPr>
                  <w:tcW w:w="1040" w:type="dxa"/>
                  <w:tcBorders>
                    <w:tl2br w:val="nil"/>
                    <w:tr2bl w:val="nil"/>
                  </w:tcBorders>
                  <w:vAlign w:val="center"/>
                </w:tcPr>
                <w:p w14:paraId="58671E46">
                  <w:pPr>
                    <w:pStyle w:val="33"/>
                    <w:rPr>
                      <w:rFonts w:hint="default"/>
                      <w:color w:val="auto"/>
                      <w:lang w:val="en-US" w:eastAsia="zh-CN"/>
                    </w:rPr>
                  </w:pPr>
                  <w:r>
                    <w:rPr>
                      <w:rFonts w:hint="eastAsia"/>
                      <w:color w:val="auto"/>
                      <w:lang w:val="en-US" w:eastAsia="zh-CN"/>
                    </w:rPr>
                    <w:t>废润滑油</w:t>
                  </w:r>
                </w:p>
              </w:tc>
              <w:tc>
                <w:tcPr>
                  <w:tcW w:w="777" w:type="dxa"/>
                  <w:vMerge w:val="restart"/>
                  <w:tcBorders>
                    <w:tl2br w:val="nil"/>
                    <w:tr2bl w:val="nil"/>
                  </w:tcBorders>
                  <w:vAlign w:val="center"/>
                </w:tcPr>
                <w:p w14:paraId="556FEE76">
                  <w:pPr>
                    <w:pStyle w:val="33"/>
                    <w:rPr>
                      <w:rFonts w:hint="eastAsia" w:eastAsia="宋体"/>
                      <w:color w:val="auto"/>
                      <w:lang w:val="en-US" w:eastAsia="zh-CN"/>
                    </w:rPr>
                  </w:pPr>
                  <w:r>
                    <w:rPr>
                      <w:rFonts w:hint="eastAsia"/>
                      <w:color w:val="auto"/>
                      <w:lang w:val="en-US" w:eastAsia="zh-CN"/>
                    </w:rPr>
                    <w:t>危险废物</w:t>
                  </w:r>
                </w:p>
              </w:tc>
              <w:tc>
                <w:tcPr>
                  <w:tcW w:w="777" w:type="dxa"/>
                  <w:tcBorders>
                    <w:tl2br w:val="nil"/>
                    <w:tr2bl w:val="nil"/>
                  </w:tcBorders>
                  <w:vAlign w:val="center"/>
                </w:tcPr>
                <w:p w14:paraId="0DF6ED45">
                  <w:pPr>
                    <w:pStyle w:val="33"/>
                    <w:rPr>
                      <w:rFonts w:hint="eastAsia" w:eastAsia="宋体"/>
                      <w:color w:val="auto"/>
                      <w:lang w:val="en-US" w:eastAsia="zh-CN"/>
                    </w:rPr>
                  </w:pPr>
                  <w:r>
                    <w:rPr>
                      <w:rFonts w:hint="eastAsia"/>
                      <w:color w:val="auto"/>
                      <w:lang w:val="en-US" w:eastAsia="zh-CN"/>
                    </w:rPr>
                    <w:t>设备维修保养</w:t>
                  </w:r>
                </w:p>
              </w:tc>
              <w:tc>
                <w:tcPr>
                  <w:tcW w:w="777" w:type="dxa"/>
                  <w:tcBorders>
                    <w:tl2br w:val="nil"/>
                    <w:tr2bl w:val="nil"/>
                  </w:tcBorders>
                  <w:vAlign w:val="center"/>
                </w:tcPr>
                <w:p w14:paraId="77C9E73B">
                  <w:pPr>
                    <w:pStyle w:val="33"/>
                    <w:rPr>
                      <w:rFonts w:hint="default"/>
                      <w:color w:val="auto"/>
                      <w:lang w:val="en-US" w:eastAsia="zh-CN"/>
                    </w:rPr>
                  </w:pPr>
                  <w:r>
                    <w:rPr>
                      <w:rFonts w:hint="eastAsia"/>
                      <w:color w:val="auto"/>
                      <w:lang w:val="en-US" w:eastAsia="zh-CN"/>
                    </w:rPr>
                    <w:t>液态</w:t>
                  </w:r>
                </w:p>
              </w:tc>
              <w:tc>
                <w:tcPr>
                  <w:tcW w:w="794" w:type="dxa"/>
                  <w:tcBorders>
                    <w:tl2br w:val="nil"/>
                    <w:tr2bl w:val="nil"/>
                  </w:tcBorders>
                  <w:vAlign w:val="center"/>
                </w:tcPr>
                <w:p w14:paraId="4BE03998">
                  <w:pPr>
                    <w:pStyle w:val="33"/>
                    <w:rPr>
                      <w:rFonts w:hint="default"/>
                      <w:color w:val="auto"/>
                      <w:lang w:val="en-US" w:eastAsia="zh-CN"/>
                    </w:rPr>
                  </w:pPr>
                  <w:r>
                    <w:rPr>
                      <w:rFonts w:hint="eastAsia"/>
                      <w:color w:val="auto"/>
                      <w:lang w:val="en-US" w:eastAsia="zh-CN"/>
                    </w:rPr>
                    <w:t>0.01</w:t>
                  </w:r>
                </w:p>
              </w:tc>
              <w:tc>
                <w:tcPr>
                  <w:tcW w:w="1205" w:type="dxa"/>
                  <w:tcBorders>
                    <w:tl2br w:val="nil"/>
                    <w:tr2bl w:val="nil"/>
                  </w:tcBorders>
                  <w:vAlign w:val="center"/>
                </w:tcPr>
                <w:p w14:paraId="2C4BEA21">
                  <w:pPr>
                    <w:pStyle w:val="33"/>
                    <w:bidi w:val="0"/>
                    <w:rPr>
                      <w:rFonts w:hint="eastAsia"/>
                      <w:color w:val="auto"/>
                      <w:lang w:val="en-US" w:eastAsia="zh-CN"/>
                    </w:rPr>
                  </w:pPr>
                  <w:r>
                    <w:rPr>
                      <w:rFonts w:hint="eastAsia"/>
                      <w:color w:val="auto"/>
                      <w:lang w:val="en-US" w:eastAsia="zh-CN"/>
                    </w:rPr>
                    <w:t>HW08</w:t>
                  </w:r>
                </w:p>
                <w:p w14:paraId="784619ED">
                  <w:pPr>
                    <w:pStyle w:val="33"/>
                    <w:bidi w:val="0"/>
                    <w:rPr>
                      <w:rFonts w:hint="default"/>
                      <w:color w:val="auto"/>
                      <w:lang w:val="en-US" w:eastAsia="zh-CN"/>
                    </w:rPr>
                  </w:pPr>
                  <w:r>
                    <w:rPr>
                      <w:rFonts w:hint="eastAsia"/>
                      <w:color w:val="auto"/>
                      <w:lang w:val="en-US" w:eastAsia="zh-CN"/>
                    </w:rPr>
                    <w:t>900-214-08</w:t>
                  </w:r>
                </w:p>
              </w:tc>
              <w:tc>
                <w:tcPr>
                  <w:tcW w:w="814" w:type="dxa"/>
                  <w:tcBorders>
                    <w:tl2br w:val="nil"/>
                    <w:tr2bl w:val="nil"/>
                  </w:tcBorders>
                  <w:vAlign w:val="center"/>
                </w:tcPr>
                <w:p w14:paraId="661AD699">
                  <w:pPr>
                    <w:pStyle w:val="33"/>
                    <w:rPr>
                      <w:rFonts w:hint="default" w:eastAsia="宋体"/>
                      <w:color w:val="auto"/>
                      <w:lang w:val="en-US" w:eastAsia="zh-CN"/>
                    </w:rPr>
                  </w:pPr>
                  <w:r>
                    <w:rPr>
                      <w:rFonts w:hint="eastAsia"/>
                      <w:color w:val="auto"/>
                      <w:lang w:val="en-US" w:eastAsia="zh-CN"/>
                    </w:rPr>
                    <w:t>专用密闭防渗容器</w:t>
                  </w:r>
                </w:p>
              </w:tc>
              <w:tc>
                <w:tcPr>
                  <w:tcW w:w="1316" w:type="dxa"/>
                  <w:tcBorders>
                    <w:tl2br w:val="nil"/>
                    <w:tr2bl w:val="nil"/>
                  </w:tcBorders>
                  <w:vAlign w:val="center"/>
                </w:tcPr>
                <w:p w14:paraId="5C152E80">
                  <w:pPr>
                    <w:pStyle w:val="33"/>
                    <w:rPr>
                      <w:color w:val="auto"/>
                    </w:rPr>
                  </w:pPr>
                  <w:r>
                    <w:rPr>
                      <w:color w:val="auto"/>
                    </w:rPr>
                    <w:t>分类收集后暂存于危废贮存点，定期委托有危险废物处置资质的单位处置</w:t>
                  </w:r>
                </w:p>
              </w:tc>
            </w:tr>
            <w:tr w14:paraId="08E163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tcBorders>
                    <w:tl2br w:val="nil"/>
                    <w:tr2bl w:val="nil"/>
                  </w:tcBorders>
                  <w:vAlign w:val="center"/>
                </w:tcPr>
                <w:p w14:paraId="6CC59CC0">
                  <w:pPr>
                    <w:pStyle w:val="33"/>
                    <w:rPr>
                      <w:rFonts w:hint="default"/>
                      <w:color w:val="auto"/>
                      <w:lang w:val="en-US" w:eastAsia="zh-CN"/>
                    </w:rPr>
                  </w:pPr>
                  <w:r>
                    <w:rPr>
                      <w:rFonts w:hint="eastAsia"/>
                      <w:color w:val="auto"/>
                      <w:lang w:val="en-US" w:eastAsia="zh-CN"/>
                    </w:rPr>
                    <w:t>9</w:t>
                  </w:r>
                </w:p>
              </w:tc>
              <w:tc>
                <w:tcPr>
                  <w:tcW w:w="1040" w:type="dxa"/>
                  <w:tcBorders>
                    <w:tl2br w:val="nil"/>
                    <w:tr2bl w:val="nil"/>
                  </w:tcBorders>
                  <w:vAlign w:val="center"/>
                </w:tcPr>
                <w:p w14:paraId="54083D66">
                  <w:pPr>
                    <w:pStyle w:val="33"/>
                    <w:rPr>
                      <w:rFonts w:hint="default"/>
                      <w:color w:val="auto"/>
                      <w:lang w:val="en-US" w:eastAsia="zh-CN"/>
                    </w:rPr>
                  </w:pPr>
                  <w:r>
                    <w:rPr>
                      <w:rFonts w:hint="eastAsia"/>
                      <w:color w:val="auto"/>
                      <w:lang w:val="en-US" w:eastAsia="zh-CN"/>
                    </w:rPr>
                    <w:t>含有抹布及劳保用品</w:t>
                  </w:r>
                </w:p>
              </w:tc>
              <w:tc>
                <w:tcPr>
                  <w:tcW w:w="777" w:type="dxa"/>
                  <w:vMerge w:val="continue"/>
                  <w:tcBorders>
                    <w:tl2br w:val="nil"/>
                    <w:tr2bl w:val="nil"/>
                  </w:tcBorders>
                  <w:vAlign w:val="center"/>
                </w:tcPr>
                <w:p w14:paraId="23019743">
                  <w:pPr>
                    <w:pStyle w:val="33"/>
                    <w:rPr>
                      <w:color w:val="auto"/>
                    </w:rPr>
                  </w:pPr>
                </w:p>
              </w:tc>
              <w:tc>
                <w:tcPr>
                  <w:tcW w:w="777" w:type="dxa"/>
                  <w:tcBorders>
                    <w:tl2br w:val="nil"/>
                    <w:tr2bl w:val="nil"/>
                  </w:tcBorders>
                  <w:vAlign w:val="center"/>
                </w:tcPr>
                <w:p w14:paraId="5BEF54CF">
                  <w:pPr>
                    <w:pStyle w:val="33"/>
                    <w:rPr>
                      <w:rFonts w:hint="default" w:eastAsia="宋体"/>
                      <w:color w:val="auto"/>
                      <w:lang w:val="en-US" w:eastAsia="zh-CN"/>
                    </w:rPr>
                  </w:pPr>
                  <w:r>
                    <w:rPr>
                      <w:rFonts w:hint="eastAsia"/>
                      <w:color w:val="auto"/>
                      <w:lang w:val="en-US" w:eastAsia="zh-CN"/>
                    </w:rPr>
                    <w:t>设备维修保养</w:t>
                  </w:r>
                </w:p>
              </w:tc>
              <w:tc>
                <w:tcPr>
                  <w:tcW w:w="777" w:type="dxa"/>
                  <w:tcBorders>
                    <w:tl2br w:val="nil"/>
                    <w:tr2bl w:val="nil"/>
                  </w:tcBorders>
                  <w:vAlign w:val="center"/>
                </w:tcPr>
                <w:p w14:paraId="3E7A1D3A">
                  <w:pPr>
                    <w:pStyle w:val="33"/>
                    <w:rPr>
                      <w:rFonts w:hint="default"/>
                      <w:color w:val="auto"/>
                      <w:lang w:val="en-US" w:eastAsia="zh-CN"/>
                    </w:rPr>
                  </w:pPr>
                  <w:r>
                    <w:rPr>
                      <w:rFonts w:hint="eastAsia"/>
                      <w:color w:val="auto"/>
                      <w:lang w:val="en-US" w:eastAsia="zh-CN"/>
                    </w:rPr>
                    <w:t>固态</w:t>
                  </w:r>
                </w:p>
              </w:tc>
              <w:tc>
                <w:tcPr>
                  <w:tcW w:w="794" w:type="dxa"/>
                  <w:tcBorders>
                    <w:tl2br w:val="nil"/>
                    <w:tr2bl w:val="nil"/>
                  </w:tcBorders>
                  <w:vAlign w:val="center"/>
                </w:tcPr>
                <w:p w14:paraId="735E301C">
                  <w:pPr>
                    <w:pStyle w:val="33"/>
                    <w:rPr>
                      <w:rFonts w:hint="default"/>
                      <w:color w:val="auto"/>
                      <w:lang w:val="en-US" w:eastAsia="zh-CN"/>
                    </w:rPr>
                  </w:pPr>
                  <w:r>
                    <w:rPr>
                      <w:rFonts w:hint="eastAsia"/>
                      <w:color w:val="auto"/>
                      <w:lang w:val="en-US" w:eastAsia="zh-CN"/>
                    </w:rPr>
                    <w:t>0.005</w:t>
                  </w:r>
                </w:p>
              </w:tc>
              <w:tc>
                <w:tcPr>
                  <w:tcW w:w="1205" w:type="dxa"/>
                  <w:tcBorders>
                    <w:tl2br w:val="nil"/>
                    <w:tr2bl w:val="nil"/>
                  </w:tcBorders>
                  <w:vAlign w:val="center"/>
                </w:tcPr>
                <w:p w14:paraId="1DE2DDEF">
                  <w:pPr>
                    <w:pStyle w:val="33"/>
                    <w:bidi w:val="0"/>
                    <w:rPr>
                      <w:rFonts w:hint="eastAsia"/>
                      <w:color w:val="auto"/>
                      <w:lang w:val="en-US" w:eastAsia="zh-CN"/>
                    </w:rPr>
                  </w:pPr>
                  <w:r>
                    <w:rPr>
                      <w:rFonts w:hint="eastAsia"/>
                      <w:color w:val="auto"/>
                      <w:lang w:val="en-US" w:eastAsia="zh-CN"/>
                    </w:rPr>
                    <w:t>HW49</w:t>
                  </w:r>
                </w:p>
                <w:p w14:paraId="15AAEF51">
                  <w:pPr>
                    <w:pStyle w:val="33"/>
                    <w:bidi w:val="0"/>
                    <w:rPr>
                      <w:rFonts w:hint="default"/>
                      <w:color w:val="auto"/>
                      <w:lang w:val="en-US" w:eastAsia="zh-CN"/>
                    </w:rPr>
                  </w:pPr>
                  <w:r>
                    <w:rPr>
                      <w:rFonts w:hint="eastAsia"/>
                      <w:color w:val="auto"/>
                      <w:lang w:val="en-US" w:eastAsia="zh-CN"/>
                    </w:rPr>
                    <w:t>900-041-49</w:t>
                  </w:r>
                </w:p>
              </w:tc>
              <w:tc>
                <w:tcPr>
                  <w:tcW w:w="814" w:type="dxa"/>
                  <w:tcBorders>
                    <w:tl2br w:val="nil"/>
                    <w:tr2bl w:val="nil"/>
                  </w:tcBorders>
                  <w:vAlign w:val="center"/>
                </w:tcPr>
                <w:p w14:paraId="3B5F5F7B">
                  <w:pPr>
                    <w:pStyle w:val="33"/>
                    <w:rPr>
                      <w:rFonts w:hint="eastAsia" w:eastAsia="宋体"/>
                      <w:color w:val="auto"/>
                      <w:lang w:val="en-US" w:eastAsia="zh-CN"/>
                    </w:rPr>
                  </w:pPr>
                  <w:r>
                    <w:rPr>
                      <w:rFonts w:hint="eastAsia"/>
                      <w:color w:val="auto"/>
                      <w:lang w:val="en-US" w:eastAsia="zh-CN"/>
                    </w:rPr>
                    <w:t>加盖密闭容器</w:t>
                  </w:r>
                </w:p>
              </w:tc>
              <w:tc>
                <w:tcPr>
                  <w:tcW w:w="1316" w:type="dxa"/>
                  <w:tcBorders>
                    <w:tl2br w:val="nil"/>
                    <w:tr2bl w:val="nil"/>
                  </w:tcBorders>
                  <w:vAlign w:val="center"/>
                </w:tcPr>
                <w:p w14:paraId="42021017">
                  <w:pPr>
                    <w:pStyle w:val="33"/>
                    <w:rPr>
                      <w:color w:val="auto"/>
                    </w:rPr>
                  </w:pPr>
                  <w:r>
                    <w:rPr>
                      <w:color w:val="auto"/>
                    </w:rPr>
                    <w:t>分类收集后暂存于危废贮存点，定期委托有危险废物处置资质的单位处置</w:t>
                  </w:r>
                </w:p>
              </w:tc>
            </w:tr>
          </w:tbl>
          <w:p w14:paraId="33C56A73">
            <w:pPr>
              <w:ind w:firstLine="482"/>
              <w:rPr>
                <w:color w:val="auto"/>
              </w:rPr>
            </w:pPr>
            <w:r>
              <w:rPr>
                <w:rFonts w:hint="eastAsia"/>
                <w:b/>
                <w:bCs/>
                <w:color w:val="auto"/>
              </w:rPr>
              <w:t>（2）固体废物环境管理要求</w:t>
            </w:r>
          </w:p>
          <w:p w14:paraId="37917B38">
            <w:pPr>
              <w:ind w:firstLine="482"/>
              <w:rPr>
                <w:color w:val="auto"/>
              </w:rPr>
            </w:pPr>
            <w:r>
              <w:rPr>
                <w:b/>
                <w:bCs/>
                <w:color w:val="auto"/>
              </w:rPr>
              <w:t>1）一般固体废物的处置管理</w:t>
            </w:r>
          </w:p>
          <w:p w14:paraId="04A6C1BB">
            <w:pPr>
              <w:ind w:firstLine="480"/>
              <w:rPr>
                <w:color w:val="auto"/>
              </w:rPr>
            </w:pPr>
            <w:r>
              <w:rPr>
                <w:color w:val="auto"/>
              </w:rPr>
              <w:t>本项目设置一般固体废物暂存区，用于暂存废包装材料、原料清洗及挑选废料、食品残渣及含油过滤残渣、不合格产品等一般工业固体废物。暂存区采取防渗、防雨、防流失和防扬散等措施，各类固体废物分类收集、分区存放，并建立固体废物管理台账，记录固体废物的名称、产生量、贮存方式、转移去向及处置情况。</w:t>
            </w:r>
          </w:p>
          <w:p w14:paraId="51A67CF7">
            <w:pPr>
              <w:ind w:firstLine="480"/>
              <w:rPr>
                <w:color w:val="auto"/>
              </w:rPr>
            </w:pPr>
            <w:r>
              <w:rPr>
                <w:color w:val="auto"/>
              </w:rPr>
              <w:t>废包装材料中具有回收利用价值的部分外售废品回收单位综合利用；原料清洗及挑选废料、不合格产品等定期交环卫部门或有处理能力的单位处置；食品残渣及含油过滤残渣采用密闭容器收集并及时清运，避免长时间贮存产生异味。</w:t>
            </w:r>
          </w:p>
          <w:p w14:paraId="581E2302">
            <w:pPr>
              <w:ind w:firstLine="480"/>
              <w:rPr>
                <w:color w:val="auto"/>
              </w:rPr>
            </w:pPr>
            <w:r>
              <w:rPr>
                <w:color w:val="auto"/>
              </w:rPr>
              <w:t>隔油浮渣及沉淀物采用防渗漏密闭容器收集，污水处理污泥暂存于一体化污水处理设备配套污泥池或防渗漏密闭容器内，定期由有处理能力的单位清运、妥善处置。清掏及转运过程中应采取密闭、防渗漏措施，避免污泥和浮渣遗撒、渗漏造成二次污染。员工生活垃圾经垃圾桶分类收集后，由环卫部门统一清运。</w:t>
            </w:r>
          </w:p>
          <w:p w14:paraId="512FF32E">
            <w:pPr>
              <w:ind w:firstLine="480"/>
              <w:rPr>
                <w:rFonts w:hint="eastAsia"/>
                <w:b/>
                <w:bCs/>
                <w:color w:val="auto"/>
                <w:lang w:val="en-US" w:eastAsia="zh-CN"/>
              </w:rPr>
            </w:pPr>
            <w:r>
              <w:rPr>
                <w:rFonts w:hint="eastAsia"/>
                <w:b/>
                <w:bCs/>
                <w:color w:val="auto"/>
                <w:lang w:val="en-US" w:eastAsia="zh-CN"/>
              </w:rPr>
              <w:t>2）危险废物的处置管理</w:t>
            </w:r>
          </w:p>
          <w:p w14:paraId="2CA0CC48">
            <w:pPr>
              <w:ind w:firstLine="480"/>
              <w:rPr>
                <w:rFonts w:hint="eastAsia"/>
                <w:color w:val="auto"/>
                <w:lang w:val="en-US" w:eastAsia="zh-CN"/>
              </w:rPr>
            </w:pPr>
            <w:r>
              <w:rPr>
                <w:rFonts w:hint="eastAsia"/>
                <w:color w:val="auto"/>
                <w:lang w:val="en-US" w:eastAsia="zh-CN"/>
              </w:rPr>
              <w:t>本项目设备维修保养过程中产生废润滑油约0.0100t/a，属于HW08废矿物油与含矿物油废物，废物代码为900-214-08；产生含油抹布及劳保用品约0.0050t/a，属于HW49其他废物，废物代码为900-041-49。上述危险废物应分类收集后暂存于厂区危废贮存点，定期委托具有相应危险废物处置资质的单位处理。</w:t>
            </w:r>
          </w:p>
          <w:p w14:paraId="2BD9F231">
            <w:pPr>
              <w:ind w:firstLine="480"/>
              <w:rPr>
                <w:rFonts w:hint="eastAsia"/>
                <w:color w:val="auto"/>
                <w:lang w:val="en-US" w:eastAsia="zh-CN"/>
              </w:rPr>
            </w:pPr>
            <w:r>
              <w:rPr>
                <w:rFonts w:hint="eastAsia"/>
                <w:color w:val="auto"/>
                <w:lang w:val="en-US" w:eastAsia="zh-CN"/>
              </w:rPr>
              <w:t>危废贮存点应按照《危险废物贮存污染控制标准》（GB 18597—2023）要求设置固定区域边界，并采取防风、防雨、防晒、防渗漏和防流失措施。地面应进行防渗处理，设置泄漏液体收集设施；废润滑油采用与其性质相容的密闭防渗容器盛装，并设置防渗托盘；含油抹布及劳保用品采用加盖密闭容器收集。不同类别危险废物应分区存放，不得与一般固体废物或生活垃圾混合贮存。</w:t>
            </w:r>
          </w:p>
          <w:p w14:paraId="2C259F8A">
            <w:pPr>
              <w:ind w:firstLine="480"/>
              <w:rPr>
                <w:rFonts w:hint="eastAsia"/>
                <w:color w:val="auto"/>
                <w:lang w:val="en-US" w:eastAsia="zh-CN"/>
              </w:rPr>
            </w:pPr>
            <w:r>
              <w:rPr>
                <w:rFonts w:hint="eastAsia"/>
                <w:color w:val="auto"/>
                <w:lang w:val="en-US" w:eastAsia="zh-CN"/>
              </w:rPr>
              <w:t>危险废物包装容器及贮存点应按照《危险废物识别标志设置技术规范》（HJ 1276—2022）设置危险废物标签和识别标志，同时配备必要的消防及泄漏应急物资。建设单位应建立危险废物管理台账，如实记录危险废物的产生、贮存和转移情况；转移危险废物时执行危险废物转移联单制度，并交由具有相应资质的单位运输和处置。</w:t>
            </w:r>
          </w:p>
          <w:p w14:paraId="27B7E4D7">
            <w:pPr>
              <w:ind w:firstLine="482"/>
              <w:rPr>
                <w:color w:val="auto"/>
              </w:rPr>
            </w:pPr>
            <w:r>
              <w:rPr>
                <w:rFonts w:hint="eastAsia"/>
                <w:b/>
                <w:bCs/>
                <w:color w:val="auto"/>
                <w:lang w:val="en-US" w:eastAsia="zh-CN"/>
              </w:rPr>
              <w:t>3</w:t>
            </w:r>
            <w:r>
              <w:rPr>
                <w:b/>
                <w:bCs/>
                <w:color w:val="auto"/>
              </w:rPr>
              <w:t>）环境影响分析</w:t>
            </w:r>
          </w:p>
          <w:p w14:paraId="09B8BC1A">
            <w:pPr>
              <w:ind w:firstLine="480"/>
              <w:rPr>
                <w:color w:val="auto"/>
              </w:rPr>
            </w:pPr>
            <w:r>
              <w:rPr>
                <w:color w:val="auto"/>
              </w:rPr>
              <w:t>本项目各类固体废物分类收集、规范暂存。废包装材料外售综合利用；原料清洗及挑选废料、食品残渣及含油过滤残渣、不合格产品、隔油沉淀物和污水处理污泥委托有处理能力的单位处置；隔油池废动植物油采用密闭容器收集后交由厨余垃圾处置单位处理；生活垃圾由环卫部门统一清运。</w:t>
            </w:r>
          </w:p>
          <w:p w14:paraId="1ED7A6D3">
            <w:pPr>
              <w:ind w:firstLine="480"/>
              <w:rPr>
                <w:color w:val="auto"/>
              </w:rPr>
            </w:pPr>
            <w:r>
              <w:rPr>
                <w:color w:val="auto"/>
              </w:rPr>
              <w:t>一般工业固体废物暂存区采取防渗、防雨、防扬散和防流失措施；易腐食品残渣、隔油池废动植物油、隔油沉淀物及污泥采用密闭容器收集，并及时清运，减少渗滤液、异味及病媒生物等二次污染。</w:t>
            </w:r>
          </w:p>
          <w:p w14:paraId="4AF85E3F">
            <w:pPr>
              <w:ind w:firstLine="480"/>
              <w:rPr>
                <w:color w:val="auto"/>
              </w:rPr>
            </w:pPr>
            <w:r>
              <w:rPr>
                <w:color w:val="auto"/>
              </w:rPr>
              <w:t>废润滑油和含油抹布及劳保用品分类密闭收集后暂存于危废贮存点。危废贮存点采取防风、防雨、防晒、防渗漏措施，设置防渗托盘、危险废物识别标志并建立管理台账，危险废物定期交由有资质单位运输和处置，并执行危险废物转移联单制度。</w:t>
            </w:r>
          </w:p>
          <w:p w14:paraId="36F51228">
            <w:pPr>
              <w:ind w:firstLine="480"/>
              <w:rPr>
                <w:color w:val="auto"/>
              </w:rPr>
            </w:pPr>
            <w:r>
              <w:rPr>
                <w:color w:val="auto"/>
              </w:rPr>
              <w:t>综上，在落实上述分类收集、规范暂存和妥善处置措施后，本项目各类固体废物均可得到合理处置，对周边土壤、地下水及环境空气的影响较小，固体废物污染防治措施可行。</w:t>
            </w:r>
          </w:p>
          <w:p w14:paraId="5998BC23">
            <w:pPr>
              <w:ind w:firstLine="482"/>
              <w:rPr>
                <w:color w:val="auto"/>
              </w:rPr>
            </w:pPr>
            <w:r>
              <w:rPr>
                <w:rFonts w:hint="eastAsia"/>
                <w:b/>
                <w:bCs/>
                <w:color w:val="auto"/>
              </w:rPr>
              <w:t>5、地下水、土壤环境影响和保护措施</w:t>
            </w:r>
            <w:r>
              <w:rPr>
                <w:rFonts w:hint="eastAsia"/>
                <w:color w:val="auto"/>
              </w:rPr>
              <w:t xml:space="preserve"> </w:t>
            </w:r>
          </w:p>
          <w:p w14:paraId="53765D82">
            <w:pPr>
              <w:ind w:firstLine="482"/>
              <w:rPr>
                <w:color w:val="auto"/>
              </w:rPr>
            </w:pPr>
            <w:r>
              <w:rPr>
                <w:rFonts w:hint="eastAsia"/>
                <w:b/>
                <w:bCs/>
                <w:color w:val="auto"/>
              </w:rPr>
              <w:t>（1）地下水、土壤环境影响途径</w:t>
            </w:r>
            <w:r>
              <w:rPr>
                <w:rFonts w:hint="eastAsia"/>
                <w:color w:val="auto"/>
              </w:rPr>
              <w:t xml:space="preserve"> </w:t>
            </w:r>
          </w:p>
          <w:p w14:paraId="4CD88590">
            <w:pPr>
              <w:ind w:firstLine="480"/>
              <w:rPr>
                <w:rFonts w:hint="eastAsia"/>
                <w:color w:val="auto"/>
              </w:rPr>
            </w:pPr>
            <w:r>
              <w:rPr>
                <w:rFonts w:hint="eastAsia"/>
                <w:color w:val="auto"/>
              </w:rPr>
              <w:t>项目正常生产过程中不涉及重金属等污染物排放。地下水、土壤潜在污染途径主要为生产废水收集管道</w:t>
            </w:r>
            <w:r>
              <w:rPr>
                <w:rFonts w:hint="eastAsia"/>
                <w:color w:val="auto"/>
              </w:rPr>
              <w:t>、隔油沉淀池及A/O一体化污水处理设备发生破损、泄漏，以及原料油、废润滑油等液态</w:t>
            </w:r>
            <w:r>
              <w:rPr>
                <w:rFonts w:hint="eastAsia"/>
                <w:color w:val="auto"/>
              </w:rPr>
              <w:t>物料在储存、转运过程中发生泄漏下渗。</w:t>
            </w:r>
          </w:p>
          <w:p w14:paraId="1F3165BE">
            <w:pPr>
              <w:ind w:firstLine="480"/>
              <w:rPr>
                <w:rFonts w:hint="eastAsia"/>
                <w:color w:val="auto"/>
              </w:rPr>
            </w:pPr>
            <w:r>
              <w:rPr>
                <w:rFonts w:hint="eastAsia"/>
                <w:color w:val="auto"/>
              </w:rPr>
              <w:t>项目生产废水经密闭管道收集后进入“隔油沉淀池+A/O一体化污水处理设备”处理；食用植物油采用密闭容器储存；</w:t>
            </w:r>
            <w:r>
              <w:rPr>
                <w:rFonts w:hint="eastAsia"/>
                <w:color w:val="auto"/>
              </w:rPr>
              <w:t>废润滑油和含油抹布及劳保用品分类收集后暂存于危废贮存点。落实分区防渗、日常检查和泄漏收集措施后，对地下水、土壤环境影响较小。</w:t>
            </w:r>
          </w:p>
          <w:p w14:paraId="4910AF63">
            <w:pPr>
              <w:ind w:firstLine="482"/>
              <w:rPr>
                <w:color w:val="auto"/>
              </w:rPr>
            </w:pPr>
            <w:r>
              <w:rPr>
                <w:rFonts w:hint="eastAsia"/>
                <w:b/>
                <w:bCs/>
                <w:color w:val="auto"/>
              </w:rPr>
              <w:t>（2）地下水、土壤污染防治措施</w:t>
            </w:r>
          </w:p>
          <w:p w14:paraId="202553D1">
            <w:pPr>
              <w:ind w:firstLine="480"/>
              <w:rPr>
                <w:color w:val="auto"/>
              </w:rPr>
            </w:pPr>
            <w:r>
              <w:rPr>
                <w:color w:val="auto"/>
              </w:rPr>
              <w:t>项目采取源头控制和分区防渗相结合的地下水、土壤污染防治措施。根据各功能区污染物性质及发生泄漏的可能性，将厂区划分为</w:t>
            </w:r>
            <w:r>
              <w:rPr>
                <w:color w:val="auto"/>
              </w:rPr>
              <w:t>重点防渗区、一般防渗区和简单防渗区。</w:t>
            </w:r>
          </w:p>
          <w:p w14:paraId="530D2D26">
            <w:pPr>
              <w:pStyle w:val="35"/>
              <w:rPr>
                <w:rFonts w:hint="default"/>
                <w:color w:val="auto"/>
              </w:rPr>
            </w:pPr>
            <w:r>
              <w:rPr>
                <w:color w:val="auto"/>
              </w:rPr>
              <w:t>表4-14 地下水污染防渗分区表</w:t>
            </w:r>
          </w:p>
          <w:tbl>
            <w:tblPr>
              <w:tblStyle w:val="17"/>
              <w:tblW w:w="801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444"/>
              <w:gridCol w:w="2231"/>
              <w:gridCol w:w="3561"/>
            </w:tblGrid>
            <w:tr w14:paraId="162A51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76" w:type="dxa"/>
                  <w:tcBorders>
                    <w:tl2br w:val="nil"/>
                    <w:tr2bl w:val="nil"/>
                  </w:tcBorders>
                  <w:vAlign w:val="center"/>
                </w:tcPr>
                <w:p w14:paraId="3B89FBCC">
                  <w:pPr>
                    <w:pStyle w:val="33"/>
                    <w:rPr>
                      <w:color w:val="auto"/>
                    </w:rPr>
                  </w:pPr>
                  <w:r>
                    <w:rPr>
                      <w:rFonts w:hint="eastAsia"/>
                      <w:color w:val="auto"/>
                    </w:rPr>
                    <w:t>序号</w:t>
                  </w:r>
                </w:p>
              </w:tc>
              <w:tc>
                <w:tcPr>
                  <w:tcW w:w="1444" w:type="dxa"/>
                  <w:tcBorders>
                    <w:tl2br w:val="nil"/>
                    <w:tr2bl w:val="nil"/>
                  </w:tcBorders>
                  <w:vAlign w:val="center"/>
                </w:tcPr>
                <w:p w14:paraId="378D97A7">
                  <w:pPr>
                    <w:pStyle w:val="33"/>
                    <w:rPr>
                      <w:color w:val="auto"/>
                    </w:rPr>
                  </w:pPr>
                  <w:r>
                    <w:rPr>
                      <w:rFonts w:hint="eastAsia"/>
                      <w:color w:val="auto"/>
                    </w:rPr>
                    <w:t>防治区分区</w:t>
                  </w:r>
                </w:p>
              </w:tc>
              <w:tc>
                <w:tcPr>
                  <w:tcW w:w="2231" w:type="dxa"/>
                  <w:tcBorders>
                    <w:tl2br w:val="nil"/>
                    <w:tr2bl w:val="nil"/>
                  </w:tcBorders>
                  <w:vAlign w:val="center"/>
                </w:tcPr>
                <w:p w14:paraId="4DFFB3A4">
                  <w:pPr>
                    <w:pStyle w:val="33"/>
                    <w:rPr>
                      <w:color w:val="auto"/>
                    </w:rPr>
                  </w:pPr>
                  <w:r>
                    <w:rPr>
                      <w:rFonts w:hint="eastAsia"/>
                      <w:color w:val="auto"/>
                    </w:rPr>
                    <w:t>装置或构筑物名称</w:t>
                  </w:r>
                </w:p>
              </w:tc>
              <w:tc>
                <w:tcPr>
                  <w:tcW w:w="3561" w:type="dxa"/>
                  <w:tcBorders>
                    <w:tl2br w:val="nil"/>
                    <w:tr2bl w:val="nil"/>
                  </w:tcBorders>
                  <w:vAlign w:val="center"/>
                </w:tcPr>
                <w:p w14:paraId="659B697A">
                  <w:pPr>
                    <w:pStyle w:val="33"/>
                    <w:rPr>
                      <w:color w:val="auto"/>
                    </w:rPr>
                  </w:pPr>
                  <w:r>
                    <w:rPr>
                      <w:rFonts w:hint="eastAsia"/>
                      <w:color w:val="auto"/>
                    </w:rPr>
                    <w:t>防渗要求</w:t>
                  </w:r>
                </w:p>
              </w:tc>
            </w:tr>
            <w:tr w14:paraId="488A4E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l2br w:val="nil"/>
                    <w:tr2bl w:val="nil"/>
                  </w:tcBorders>
                  <w:shd w:val="clear" w:color="auto" w:fill="auto"/>
                  <w:vAlign w:val="center"/>
                </w:tcPr>
                <w:p w14:paraId="13926851">
                  <w:pPr>
                    <w:pStyle w:val="33"/>
                    <w:ind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rPr>
                    <w:t>1</w:t>
                  </w:r>
                </w:p>
              </w:tc>
              <w:tc>
                <w:tcPr>
                  <w:tcW w:w="1444" w:type="dxa"/>
                  <w:tcBorders>
                    <w:tl2br w:val="nil"/>
                    <w:tr2bl w:val="nil"/>
                  </w:tcBorders>
                  <w:vAlign w:val="center"/>
                </w:tcPr>
                <w:p w14:paraId="0F11E685">
                  <w:pPr>
                    <w:pStyle w:val="33"/>
                    <w:rPr>
                      <w:rFonts w:hint="eastAsia" w:eastAsia="宋体"/>
                      <w:color w:val="auto"/>
                      <w:lang w:val="en-US" w:eastAsia="zh-CN"/>
                    </w:rPr>
                  </w:pPr>
                  <w:r>
                    <w:rPr>
                      <w:rFonts w:hint="eastAsia"/>
                      <w:color w:val="auto"/>
                      <w:lang w:val="en-US" w:eastAsia="zh-CN"/>
                    </w:rPr>
                    <w:t>重点防渗区</w:t>
                  </w:r>
                </w:p>
              </w:tc>
              <w:tc>
                <w:tcPr>
                  <w:tcW w:w="2231" w:type="dxa"/>
                  <w:tcBorders>
                    <w:tl2br w:val="nil"/>
                    <w:tr2bl w:val="nil"/>
                  </w:tcBorders>
                  <w:vAlign w:val="center"/>
                </w:tcPr>
                <w:p w14:paraId="57D6C060">
                  <w:pPr>
                    <w:pStyle w:val="33"/>
                    <w:rPr>
                      <w:rFonts w:hint="default" w:eastAsia="宋体"/>
                      <w:color w:val="auto"/>
                      <w:lang w:val="en-US" w:eastAsia="zh-CN"/>
                    </w:rPr>
                  </w:pPr>
                  <w:r>
                    <w:rPr>
                      <w:rFonts w:hint="eastAsia"/>
                      <w:color w:val="auto"/>
                      <w:lang w:val="en-US" w:eastAsia="zh-CN"/>
                    </w:rPr>
                    <w:t>危废贮存点</w:t>
                  </w:r>
                </w:p>
              </w:tc>
              <w:tc>
                <w:tcPr>
                  <w:tcW w:w="3561" w:type="dxa"/>
                  <w:tcBorders>
                    <w:tl2br w:val="nil"/>
                    <w:tr2bl w:val="nil"/>
                  </w:tcBorders>
                  <w:vAlign w:val="center"/>
                </w:tcPr>
                <w:p w14:paraId="5DBD6351">
                  <w:pPr>
                    <w:pStyle w:val="33"/>
                    <w:rPr>
                      <w:color w:val="auto"/>
                    </w:rPr>
                  </w:pPr>
                  <w:r>
                    <w:rPr>
                      <w:color w:val="auto"/>
                    </w:rPr>
                    <w:t>地面及裙脚采取防渗措施，废润滑油采用密闭容器并设置防渗托盘或泄漏收集设施，满足《危险废物贮存污染控制标准》（GB 18597—2023）要求</w:t>
                  </w:r>
                </w:p>
              </w:tc>
            </w:tr>
            <w:tr w14:paraId="50E693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l2br w:val="nil"/>
                    <w:tr2bl w:val="nil"/>
                  </w:tcBorders>
                  <w:shd w:val="clear" w:color="auto" w:fill="auto"/>
                  <w:vAlign w:val="center"/>
                </w:tcPr>
                <w:p w14:paraId="70828FD9">
                  <w:pPr>
                    <w:pStyle w:val="33"/>
                    <w:ind w:firstLine="0" w:firstLineChars="0"/>
                    <w:rPr>
                      <w:rFonts w:ascii="Times New Roman" w:hAnsi="Times New Roman" w:eastAsia="宋体" w:cs="Times New Roman"/>
                      <w:color w:val="auto"/>
                      <w:kern w:val="0"/>
                      <w:sz w:val="21"/>
                      <w:szCs w:val="21"/>
                      <w:lang w:val="en-US" w:eastAsia="zh-CN" w:bidi="ar-SA"/>
                    </w:rPr>
                  </w:pPr>
                  <w:r>
                    <w:rPr>
                      <w:rFonts w:hint="eastAsia"/>
                      <w:color w:val="auto"/>
                    </w:rPr>
                    <w:t>2</w:t>
                  </w:r>
                </w:p>
              </w:tc>
              <w:tc>
                <w:tcPr>
                  <w:tcW w:w="1444" w:type="dxa"/>
                  <w:tcBorders>
                    <w:tl2br w:val="nil"/>
                    <w:tr2bl w:val="nil"/>
                  </w:tcBorders>
                  <w:vAlign w:val="center"/>
                </w:tcPr>
                <w:p w14:paraId="5BD55C16">
                  <w:pPr>
                    <w:pStyle w:val="33"/>
                    <w:rPr>
                      <w:color w:val="auto"/>
                    </w:rPr>
                  </w:pPr>
                  <w:r>
                    <w:rPr>
                      <w:rFonts w:hint="eastAsia"/>
                      <w:color w:val="auto"/>
                    </w:rPr>
                    <w:t>一般防渗区</w:t>
                  </w:r>
                </w:p>
              </w:tc>
              <w:tc>
                <w:tcPr>
                  <w:tcW w:w="2231" w:type="dxa"/>
                  <w:tcBorders>
                    <w:tl2br w:val="nil"/>
                    <w:tr2bl w:val="nil"/>
                  </w:tcBorders>
                  <w:vAlign w:val="center"/>
                </w:tcPr>
                <w:p w14:paraId="233A9355">
                  <w:pPr>
                    <w:pStyle w:val="33"/>
                    <w:rPr>
                      <w:color w:val="auto"/>
                    </w:rPr>
                  </w:pPr>
                  <w:r>
                    <w:rPr>
                      <w:rFonts w:hint="eastAsia"/>
                      <w:color w:val="auto"/>
                    </w:rPr>
                    <w:t>隔油沉淀池、预处理间、熟制间、设备及容器清洗区、车间地面清洗涉及区域、一般固体废物暂存区</w:t>
                  </w:r>
                </w:p>
              </w:tc>
              <w:tc>
                <w:tcPr>
                  <w:tcW w:w="3561" w:type="dxa"/>
                  <w:tcBorders>
                    <w:tl2br w:val="nil"/>
                    <w:tr2bl w:val="nil"/>
                  </w:tcBorders>
                  <w:vAlign w:val="center"/>
                </w:tcPr>
                <w:p w14:paraId="1932E778">
                  <w:pPr>
                    <w:pStyle w:val="33"/>
                    <w:rPr>
                      <w:color w:val="auto"/>
                    </w:rPr>
                  </w:pPr>
                  <w:r>
                    <w:rPr>
                      <w:color w:val="auto"/>
                    </w:rPr>
                    <w:t>等效黏土防渗层Mb≥1.5m，K≤1×10</w:t>
                  </w:r>
                  <w:r>
                    <w:rPr>
                      <w:color w:val="auto"/>
                      <w:vertAlign w:val="superscript"/>
                    </w:rPr>
                    <w:t xml:space="preserve">-7 </w:t>
                  </w:r>
                  <w:r>
                    <w:rPr>
                      <w:color w:val="auto"/>
                    </w:rPr>
                    <w:t>cm/s；或参照</w:t>
                  </w:r>
                  <w:r>
                    <w:rPr>
                      <w:rFonts w:hint="eastAsia"/>
                      <w:color w:val="auto"/>
                    </w:rPr>
                    <w:t>G</w:t>
                  </w:r>
                  <w:r>
                    <w:rPr>
                      <w:color w:val="auto"/>
                    </w:rPr>
                    <w:t>B16889执行</w:t>
                  </w:r>
                </w:p>
              </w:tc>
            </w:tr>
            <w:tr w14:paraId="357861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l2br w:val="nil"/>
                    <w:tr2bl w:val="nil"/>
                  </w:tcBorders>
                  <w:vAlign w:val="center"/>
                </w:tcPr>
                <w:p w14:paraId="38C5C0D1">
                  <w:pPr>
                    <w:pStyle w:val="33"/>
                    <w:rPr>
                      <w:rFonts w:hint="eastAsia" w:eastAsia="宋体"/>
                      <w:color w:val="auto"/>
                      <w:lang w:val="en-US" w:eastAsia="zh-CN"/>
                    </w:rPr>
                  </w:pPr>
                  <w:r>
                    <w:rPr>
                      <w:rFonts w:hint="eastAsia"/>
                      <w:color w:val="auto"/>
                      <w:lang w:val="en-US" w:eastAsia="zh-CN"/>
                    </w:rPr>
                    <w:t>3</w:t>
                  </w:r>
                </w:p>
              </w:tc>
              <w:tc>
                <w:tcPr>
                  <w:tcW w:w="1444" w:type="dxa"/>
                  <w:tcBorders>
                    <w:tl2br w:val="nil"/>
                    <w:tr2bl w:val="nil"/>
                  </w:tcBorders>
                  <w:vAlign w:val="center"/>
                </w:tcPr>
                <w:p w14:paraId="1582E3FA">
                  <w:pPr>
                    <w:pStyle w:val="33"/>
                    <w:rPr>
                      <w:color w:val="auto"/>
                    </w:rPr>
                  </w:pPr>
                  <w:r>
                    <w:rPr>
                      <w:rFonts w:hint="eastAsia"/>
                      <w:color w:val="auto"/>
                    </w:rPr>
                    <w:t>简单防渗区</w:t>
                  </w:r>
                </w:p>
              </w:tc>
              <w:tc>
                <w:tcPr>
                  <w:tcW w:w="2231" w:type="dxa"/>
                  <w:tcBorders>
                    <w:tl2br w:val="nil"/>
                    <w:tr2bl w:val="nil"/>
                  </w:tcBorders>
                  <w:vAlign w:val="center"/>
                </w:tcPr>
                <w:p w14:paraId="59709D53">
                  <w:pPr>
                    <w:pStyle w:val="33"/>
                    <w:rPr>
                      <w:color w:val="auto"/>
                    </w:rPr>
                  </w:pPr>
                  <w:r>
                    <w:rPr>
                      <w:rFonts w:hint="eastAsia"/>
                      <w:color w:val="auto"/>
                    </w:rPr>
                    <w:t>办公区等非污染防治区</w:t>
                  </w:r>
                </w:p>
              </w:tc>
              <w:tc>
                <w:tcPr>
                  <w:tcW w:w="3561" w:type="dxa"/>
                  <w:tcBorders>
                    <w:tl2br w:val="nil"/>
                    <w:tr2bl w:val="nil"/>
                  </w:tcBorders>
                  <w:vAlign w:val="center"/>
                </w:tcPr>
                <w:p w14:paraId="50505923">
                  <w:pPr>
                    <w:pStyle w:val="33"/>
                    <w:rPr>
                      <w:color w:val="auto"/>
                    </w:rPr>
                  </w:pPr>
                  <w:r>
                    <w:rPr>
                      <w:rFonts w:hint="eastAsia"/>
                      <w:color w:val="auto"/>
                    </w:rPr>
                    <w:t>一般地面硬化</w:t>
                  </w:r>
                </w:p>
              </w:tc>
            </w:tr>
          </w:tbl>
          <w:p w14:paraId="663B2756">
            <w:pPr>
              <w:ind w:firstLine="480"/>
              <w:rPr>
                <w:color w:val="auto"/>
              </w:rPr>
            </w:pPr>
            <w:r>
              <w:rPr>
                <w:color w:val="auto"/>
              </w:rPr>
              <w:t>项目生产废水收集、预处理设施应做好防渗、防腐及日常检查，发现破损、渗漏及时维修；液态原辅料采用密闭容器储存，并采取防倾倒、防泄漏措施；一般固废暂存区做好防雨、防渗、防流失措施。通过采取上述源头控制和分区防渗措施，可有效降低污染物下渗进入地下水及土壤的风险。</w:t>
            </w:r>
          </w:p>
          <w:p w14:paraId="0660FB31">
            <w:pPr>
              <w:ind w:firstLine="480"/>
              <w:rPr>
                <w:color w:val="auto"/>
              </w:rPr>
            </w:pPr>
            <w:r>
              <w:rPr>
                <w:color w:val="auto"/>
              </w:rPr>
              <w:t>综上，在落实各项防渗措施并加强日常运行管理的情况下，本项目不存在明显的地下水、土壤污染途径，对地下水及土壤环境影响较小。</w:t>
            </w:r>
          </w:p>
          <w:p w14:paraId="51913E52">
            <w:pPr>
              <w:ind w:firstLine="482"/>
              <w:rPr>
                <w:color w:val="auto"/>
              </w:rPr>
            </w:pPr>
            <w:r>
              <w:rPr>
                <w:rFonts w:hint="eastAsia"/>
                <w:b/>
                <w:bCs/>
                <w:color w:val="auto"/>
              </w:rPr>
              <w:t>6、环境风险分析</w:t>
            </w:r>
          </w:p>
          <w:p w14:paraId="4C10C07B">
            <w:pPr>
              <w:ind w:firstLine="480"/>
              <w:rPr>
                <w:color w:val="auto"/>
              </w:rPr>
            </w:pPr>
            <w:r>
              <w:rPr>
                <w:color w:val="auto"/>
              </w:rPr>
              <w:t>根据《建设项目环境风险评价技术导则》（HJ 169—2018），环境风险评价主要针对建设项目涉及的有毒有害、易燃易爆危险物质在生产、使用和储存过程中发生突发性事故可能造成的环境影响开展分析。HJ 169—2018规定，风险潜势为Ⅰ的建设项目可开展简单分析，简单分析应说明危险物质、环境影响途径、可能造成的环境危害后果及风险防范措施。</w:t>
            </w:r>
          </w:p>
          <w:p w14:paraId="39B50FB7">
            <w:pPr>
              <w:ind w:firstLine="480"/>
              <w:rPr>
                <w:rFonts w:hint="default" w:eastAsia="宋体"/>
                <w:color w:val="auto"/>
                <w:lang w:val="en-US" w:eastAsia="zh-CN"/>
              </w:rPr>
            </w:pPr>
            <w:r>
              <w:rPr>
                <w:color w:val="auto"/>
              </w:rPr>
              <w:t>根据《建设项目环境风险评价技术导则》（HJ 169—2018），本项目涉及的风险物质主要为天然气和废润滑油。厂内天然气管道最大在线量约0.01t，废润滑油最大暂存量按0.01t计，则</w:t>
            </w:r>
            <w:r>
              <w:rPr>
                <w:rFonts w:hint="eastAsia"/>
                <w:color w:val="auto"/>
                <w:lang w:val="en-US" w:eastAsia="zh-CN"/>
              </w:rPr>
              <w:t>Q=0.001004＜1。因此，本项目环境风险潜势为</w:t>
            </w:r>
            <w:r>
              <w:rPr>
                <w:rFonts w:hint="default" w:ascii="Times New Roman" w:hAnsi="Times New Roman" w:cs="Times New Roman"/>
                <w:color w:val="auto"/>
                <w:lang w:val="en-US" w:eastAsia="zh-CN"/>
              </w:rPr>
              <w:t>Ⅰ</w:t>
            </w:r>
            <w:r>
              <w:rPr>
                <w:rFonts w:hint="eastAsia"/>
                <w:color w:val="auto"/>
                <w:lang w:val="en-US" w:eastAsia="zh-CN"/>
              </w:rPr>
              <w:t>，</w:t>
            </w:r>
            <w:r>
              <w:rPr>
                <w:rFonts w:hint="eastAsia"/>
                <w:color w:val="auto"/>
                <w:lang w:val="en-US" w:eastAsia="zh-CN"/>
              </w:rPr>
              <w:t>开展简单分析。</w:t>
            </w:r>
            <w:r>
              <w:rPr>
                <w:rFonts w:hint="eastAsia"/>
                <w:color w:val="auto"/>
                <w:lang w:val="en-US" w:eastAsia="zh-CN"/>
              </w:rPr>
              <w:t>项目主要环境风险包括天然气泄漏及火灾、生产废水事故排放、废气治理设施故障、可燃物火灾以及危险废物泄漏等，具体如下。</w:t>
            </w:r>
          </w:p>
          <w:p w14:paraId="73A1D163">
            <w:pPr>
              <w:ind w:firstLine="482"/>
              <w:rPr>
                <w:color w:val="auto"/>
              </w:rPr>
            </w:pPr>
            <w:r>
              <w:rPr>
                <w:rFonts w:hint="eastAsia"/>
                <w:b/>
                <w:bCs/>
                <w:color w:val="auto"/>
              </w:rPr>
              <w:t>（1）环境风险识别</w:t>
            </w:r>
          </w:p>
          <w:p w14:paraId="21EAC1F8">
            <w:pPr>
              <w:pStyle w:val="35"/>
              <w:rPr>
                <w:rFonts w:hint="default"/>
                <w:color w:val="auto"/>
              </w:rPr>
            </w:pPr>
            <w:r>
              <w:rPr>
                <w:color w:val="auto"/>
              </w:rPr>
              <w:t>表4-15 环境风险类型及影响途径一览表</w:t>
            </w:r>
          </w:p>
          <w:tbl>
            <w:tblPr>
              <w:tblStyle w:val="17"/>
              <w:tblW w:w="8012"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86"/>
              <w:gridCol w:w="1725"/>
              <w:gridCol w:w="1595"/>
              <w:gridCol w:w="1603"/>
              <w:gridCol w:w="1603"/>
            </w:tblGrid>
            <w:tr w14:paraId="7AC45E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86" w:type="dxa"/>
                  <w:tcBorders>
                    <w:tl2br w:val="nil"/>
                    <w:tr2bl w:val="nil"/>
                  </w:tcBorders>
                  <w:vAlign w:val="center"/>
                </w:tcPr>
                <w:p w14:paraId="46201C70">
                  <w:pPr>
                    <w:pStyle w:val="33"/>
                    <w:rPr>
                      <w:color w:val="auto"/>
                    </w:rPr>
                  </w:pPr>
                  <w:r>
                    <w:rPr>
                      <w:rFonts w:hint="eastAsia"/>
                      <w:color w:val="auto"/>
                    </w:rPr>
                    <w:t>风险源</w:t>
                  </w:r>
                </w:p>
              </w:tc>
              <w:tc>
                <w:tcPr>
                  <w:tcW w:w="1725" w:type="dxa"/>
                  <w:tcBorders>
                    <w:tl2br w:val="nil"/>
                    <w:tr2bl w:val="nil"/>
                  </w:tcBorders>
                  <w:vAlign w:val="center"/>
                </w:tcPr>
                <w:p w14:paraId="58EFCA41">
                  <w:pPr>
                    <w:pStyle w:val="33"/>
                    <w:rPr>
                      <w:color w:val="auto"/>
                    </w:rPr>
                  </w:pPr>
                  <w:r>
                    <w:rPr>
                      <w:rFonts w:hint="eastAsia"/>
                      <w:color w:val="auto"/>
                    </w:rPr>
                    <w:t>危险物质或风险物质</w:t>
                  </w:r>
                </w:p>
              </w:tc>
              <w:tc>
                <w:tcPr>
                  <w:tcW w:w="1595" w:type="dxa"/>
                  <w:tcBorders>
                    <w:tl2br w:val="nil"/>
                    <w:tr2bl w:val="nil"/>
                  </w:tcBorders>
                  <w:vAlign w:val="center"/>
                </w:tcPr>
                <w:p w14:paraId="022F0A17">
                  <w:pPr>
                    <w:pStyle w:val="33"/>
                    <w:rPr>
                      <w:color w:val="auto"/>
                    </w:rPr>
                  </w:pPr>
                  <w:r>
                    <w:rPr>
                      <w:rFonts w:hint="eastAsia"/>
                      <w:color w:val="auto"/>
                    </w:rPr>
                    <w:t>风险类型</w:t>
                  </w:r>
                </w:p>
              </w:tc>
              <w:tc>
                <w:tcPr>
                  <w:tcW w:w="1603" w:type="dxa"/>
                  <w:tcBorders>
                    <w:tl2br w:val="nil"/>
                    <w:tr2bl w:val="nil"/>
                  </w:tcBorders>
                  <w:vAlign w:val="center"/>
                </w:tcPr>
                <w:p w14:paraId="61A2CC1A">
                  <w:pPr>
                    <w:pStyle w:val="33"/>
                    <w:rPr>
                      <w:color w:val="auto"/>
                    </w:rPr>
                  </w:pPr>
                  <w:r>
                    <w:rPr>
                      <w:rFonts w:hint="eastAsia"/>
                      <w:color w:val="auto"/>
                    </w:rPr>
                    <w:t>影响途径</w:t>
                  </w:r>
                </w:p>
              </w:tc>
              <w:tc>
                <w:tcPr>
                  <w:tcW w:w="1603" w:type="dxa"/>
                  <w:tcBorders>
                    <w:tl2br w:val="nil"/>
                    <w:tr2bl w:val="nil"/>
                  </w:tcBorders>
                  <w:vAlign w:val="center"/>
                </w:tcPr>
                <w:p w14:paraId="3D7CE0AF">
                  <w:pPr>
                    <w:pStyle w:val="33"/>
                    <w:rPr>
                      <w:color w:val="auto"/>
                    </w:rPr>
                  </w:pPr>
                  <w:r>
                    <w:rPr>
                      <w:rFonts w:hint="eastAsia"/>
                      <w:color w:val="auto"/>
                    </w:rPr>
                    <w:t>可能受影响的环境敏感目标</w:t>
                  </w:r>
                </w:p>
              </w:tc>
            </w:tr>
            <w:tr w14:paraId="78A4C3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86" w:type="dxa"/>
                  <w:tcBorders>
                    <w:tl2br w:val="nil"/>
                    <w:tr2bl w:val="nil"/>
                  </w:tcBorders>
                  <w:vAlign w:val="center"/>
                </w:tcPr>
                <w:p w14:paraId="5A78DE9D">
                  <w:pPr>
                    <w:pStyle w:val="33"/>
                    <w:rPr>
                      <w:color w:val="auto"/>
                    </w:rPr>
                  </w:pPr>
                  <w:r>
                    <w:rPr>
                      <w:rFonts w:hint="eastAsia"/>
                      <w:color w:val="auto"/>
                    </w:rPr>
                    <w:t>天然气管线及用气工序</w:t>
                  </w:r>
                </w:p>
              </w:tc>
              <w:tc>
                <w:tcPr>
                  <w:tcW w:w="1725" w:type="dxa"/>
                  <w:tcBorders>
                    <w:tl2br w:val="nil"/>
                    <w:tr2bl w:val="nil"/>
                  </w:tcBorders>
                  <w:vAlign w:val="center"/>
                </w:tcPr>
                <w:p w14:paraId="6A01170E">
                  <w:pPr>
                    <w:pStyle w:val="33"/>
                    <w:rPr>
                      <w:color w:val="auto"/>
                    </w:rPr>
                  </w:pPr>
                  <w:r>
                    <w:rPr>
                      <w:rFonts w:hint="eastAsia"/>
                      <w:color w:val="auto"/>
                    </w:rPr>
                    <w:t>天然气（主要成分甲烷）</w:t>
                  </w:r>
                </w:p>
              </w:tc>
              <w:tc>
                <w:tcPr>
                  <w:tcW w:w="1595" w:type="dxa"/>
                  <w:tcBorders>
                    <w:tl2br w:val="nil"/>
                    <w:tr2bl w:val="nil"/>
                  </w:tcBorders>
                  <w:vAlign w:val="center"/>
                </w:tcPr>
                <w:p w14:paraId="46DE751D">
                  <w:pPr>
                    <w:pStyle w:val="33"/>
                    <w:rPr>
                      <w:color w:val="auto"/>
                    </w:rPr>
                  </w:pPr>
                  <w:r>
                    <w:rPr>
                      <w:rFonts w:hint="eastAsia"/>
                      <w:color w:val="auto"/>
                    </w:rPr>
                    <w:t>泄漏、火灾、爆炸</w:t>
                  </w:r>
                </w:p>
              </w:tc>
              <w:tc>
                <w:tcPr>
                  <w:tcW w:w="1603" w:type="dxa"/>
                  <w:tcBorders>
                    <w:tl2br w:val="nil"/>
                    <w:tr2bl w:val="nil"/>
                  </w:tcBorders>
                  <w:vAlign w:val="center"/>
                </w:tcPr>
                <w:p w14:paraId="5F3FAB21">
                  <w:pPr>
                    <w:pStyle w:val="33"/>
                    <w:rPr>
                      <w:color w:val="auto"/>
                    </w:rPr>
                  </w:pPr>
                  <w:r>
                    <w:rPr>
                      <w:color w:val="auto"/>
                    </w:rPr>
                    <w:t>气体逸散、火灾烟气扩散，事故消防废水外排</w:t>
                  </w:r>
                </w:p>
              </w:tc>
              <w:tc>
                <w:tcPr>
                  <w:tcW w:w="1603" w:type="dxa"/>
                  <w:tcBorders>
                    <w:tl2br w:val="nil"/>
                    <w:tr2bl w:val="nil"/>
                  </w:tcBorders>
                  <w:vAlign w:val="center"/>
                </w:tcPr>
                <w:p w14:paraId="289509C6">
                  <w:pPr>
                    <w:pStyle w:val="33"/>
                    <w:rPr>
                      <w:color w:val="auto"/>
                    </w:rPr>
                  </w:pPr>
                  <w:r>
                    <w:rPr>
                      <w:rFonts w:hint="eastAsia"/>
                      <w:color w:val="auto"/>
                    </w:rPr>
                    <w:t>环境空气、地表水</w:t>
                  </w:r>
                </w:p>
              </w:tc>
            </w:tr>
            <w:tr w14:paraId="262A9B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86" w:type="dxa"/>
                  <w:tcBorders>
                    <w:tl2br w:val="nil"/>
                    <w:tr2bl w:val="nil"/>
                  </w:tcBorders>
                  <w:vAlign w:val="center"/>
                </w:tcPr>
                <w:p w14:paraId="63E4462B">
                  <w:pPr>
                    <w:pStyle w:val="33"/>
                    <w:rPr>
                      <w:color w:val="auto"/>
                    </w:rPr>
                  </w:pPr>
                  <w:r>
                    <w:rPr>
                      <w:rFonts w:hint="eastAsia"/>
                      <w:color w:val="auto"/>
                    </w:rPr>
                    <w:t>食用植物油及包装材料储存区域</w:t>
                  </w:r>
                </w:p>
              </w:tc>
              <w:tc>
                <w:tcPr>
                  <w:tcW w:w="1725" w:type="dxa"/>
                  <w:tcBorders>
                    <w:tl2br w:val="nil"/>
                    <w:tr2bl w:val="nil"/>
                  </w:tcBorders>
                  <w:vAlign w:val="center"/>
                </w:tcPr>
                <w:p w14:paraId="4764D5A2">
                  <w:pPr>
                    <w:pStyle w:val="33"/>
                    <w:rPr>
                      <w:color w:val="auto"/>
                    </w:rPr>
                  </w:pPr>
                  <w:r>
                    <w:rPr>
                      <w:rFonts w:hint="eastAsia"/>
                      <w:color w:val="auto"/>
                    </w:rPr>
                    <w:t>食用植物油、塑料及纸质包装材料等</w:t>
                  </w:r>
                </w:p>
              </w:tc>
              <w:tc>
                <w:tcPr>
                  <w:tcW w:w="1595" w:type="dxa"/>
                  <w:tcBorders>
                    <w:tl2br w:val="nil"/>
                    <w:tr2bl w:val="nil"/>
                  </w:tcBorders>
                  <w:vAlign w:val="center"/>
                </w:tcPr>
                <w:p w14:paraId="026484EB">
                  <w:pPr>
                    <w:pStyle w:val="33"/>
                    <w:rPr>
                      <w:color w:val="auto"/>
                    </w:rPr>
                  </w:pPr>
                  <w:r>
                    <w:rPr>
                      <w:rFonts w:hint="eastAsia"/>
                      <w:color w:val="auto"/>
                    </w:rPr>
                    <w:t>火灾</w:t>
                  </w:r>
                </w:p>
              </w:tc>
              <w:tc>
                <w:tcPr>
                  <w:tcW w:w="1603" w:type="dxa"/>
                  <w:tcBorders>
                    <w:tl2br w:val="nil"/>
                    <w:tr2bl w:val="nil"/>
                  </w:tcBorders>
                  <w:vAlign w:val="center"/>
                </w:tcPr>
                <w:p w14:paraId="654BCF69">
                  <w:pPr>
                    <w:pStyle w:val="33"/>
                    <w:rPr>
                      <w:color w:val="auto"/>
                    </w:rPr>
                  </w:pPr>
                  <w:r>
                    <w:rPr>
                      <w:rFonts w:hint="eastAsia"/>
                      <w:color w:val="auto"/>
                    </w:rPr>
                    <w:t>火灾烟气扩散、消防废水经雨水系统外排</w:t>
                  </w:r>
                </w:p>
              </w:tc>
              <w:tc>
                <w:tcPr>
                  <w:tcW w:w="1603" w:type="dxa"/>
                  <w:tcBorders>
                    <w:tl2br w:val="nil"/>
                    <w:tr2bl w:val="nil"/>
                  </w:tcBorders>
                  <w:vAlign w:val="center"/>
                </w:tcPr>
                <w:p w14:paraId="2860D726">
                  <w:pPr>
                    <w:pStyle w:val="33"/>
                    <w:rPr>
                      <w:color w:val="auto"/>
                    </w:rPr>
                  </w:pPr>
                  <w:r>
                    <w:rPr>
                      <w:rFonts w:hint="eastAsia"/>
                      <w:color w:val="auto"/>
                    </w:rPr>
                    <w:t>环境空气、地表水</w:t>
                  </w:r>
                </w:p>
              </w:tc>
            </w:tr>
            <w:tr w14:paraId="665B87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86" w:type="dxa"/>
                  <w:tcBorders>
                    <w:tl2br w:val="nil"/>
                    <w:tr2bl w:val="nil"/>
                  </w:tcBorders>
                  <w:vAlign w:val="center"/>
                </w:tcPr>
                <w:p w14:paraId="4BA70C5D">
                  <w:pPr>
                    <w:pStyle w:val="33"/>
                    <w:rPr>
                      <w:color w:val="auto"/>
                    </w:rPr>
                  </w:pPr>
                  <w:r>
                    <w:rPr>
                      <w:rFonts w:hint="eastAsia"/>
                      <w:color w:val="auto"/>
                    </w:rPr>
                    <w:t>生产废水收集及隔油、沉淀设施</w:t>
                  </w:r>
                </w:p>
              </w:tc>
              <w:tc>
                <w:tcPr>
                  <w:tcW w:w="1725" w:type="dxa"/>
                  <w:tcBorders>
                    <w:tl2br w:val="nil"/>
                    <w:tr2bl w:val="nil"/>
                  </w:tcBorders>
                  <w:vAlign w:val="center"/>
                </w:tcPr>
                <w:p w14:paraId="62923B47">
                  <w:pPr>
                    <w:pStyle w:val="33"/>
                    <w:rPr>
                      <w:color w:val="auto"/>
                    </w:rPr>
                  </w:pPr>
                  <w:r>
                    <w:rPr>
                      <w:rFonts w:hint="eastAsia"/>
                      <w:color w:val="auto"/>
                    </w:rPr>
                    <w:t>生产废水、隔油浮渣等</w:t>
                  </w:r>
                </w:p>
              </w:tc>
              <w:tc>
                <w:tcPr>
                  <w:tcW w:w="1595" w:type="dxa"/>
                  <w:tcBorders>
                    <w:tl2br w:val="nil"/>
                    <w:tr2bl w:val="nil"/>
                  </w:tcBorders>
                  <w:vAlign w:val="center"/>
                </w:tcPr>
                <w:p w14:paraId="1EF8F76D">
                  <w:pPr>
                    <w:pStyle w:val="33"/>
                    <w:rPr>
                      <w:color w:val="auto"/>
                    </w:rPr>
                  </w:pPr>
                  <w:r>
                    <w:rPr>
                      <w:rFonts w:hint="eastAsia"/>
                      <w:color w:val="auto"/>
                    </w:rPr>
                    <w:t>管线破损、池体渗漏或溢流</w:t>
                  </w:r>
                </w:p>
              </w:tc>
              <w:tc>
                <w:tcPr>
                  <w:tcW w:w="1603" w:type="dxa"/>
                  <w:tcBorders>
                    <w:tl2br w:val="nil"/>
                    <w:tr2bl w:val="nil"/>
                  </w:tcBorders>
                  <w:vAlign w:val="center"/>
                </w:tcPr>
                <w:p w14:paraId="5038C1E6">
                  <w:pPr>
                    <w:pStyle w:val="33"/>
                    <w:rPr>
                      <w:color w:val="auto"/>
                    </w:rPr>
                  </w:pPr>
                  <w:r>
                    <w:rPr>
                      <w:rFonts w:hint="eastAsia"/>
                      <w:color w:val="auto"/>
                    </w:rPr>
                    <w:t>地面漫流、雨水管网、下渗</w:t>
                  </w:r>
                </w:p>
              </w:tc>
              <w:tc>
                <w:tcPr>
                  <w:tcW w:w="1603" w:type="dxa"/>
                  <w:tcBorders>
                    <w:tl2br w:val="nil"/>
                    <w:tr2bl w:val="nil"/>
                  </w:tcBorders>
                  <w:vAlign w:val="center"/>
                </w:tcPr>
                <w:p w14:paraId="2C738253">
                  <w:pPr>
                    <w:pStyle w:val="33"/>
                    <w:rPr>
                      <w:color w:val="auto"/>
                    </w:rPr>
                  </w:pPr>
                  <w:r>
                    <w:rPr>
                      <w:rFonts w:hint="eastAsia"/>
                      <w:color w:val="auto"/>
                    </w:rPr>
                    <w:t>地表水、地下水、土壤</w:t>
                  </w:r>
                </w:p>
              </w:tc>
            </w:tr>
            <w:tr w14:paraId="7C4314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86" w:type="dxa"/>
                  <w:tcBorders>
                    <w:tl2br w:val="nil"/>
                    <w:tr2bl w:val="nil"/>
                  </w:tcBorders>
                  <w:vAlign w:val="center"/>
                </w:tcPr>
                <w:p w14:paraId="607BD217">
                  <w:pPr>
                    <w:pStyle w:val="33"/>
                    <w:rPr>
                      <w:color w:val="auto"/>
                    </w:rPr>
                  </w:pPr>
                  <w:r>
                    <w:rPr>
                      <w:color w:val="auto"/>
                    </w:rPr>
                    <w:t>废气治理设施</w:t>
                  </w:r>
                </w:p>
              </w:tc>
              <w:tc>
                <w:tcPr>
                  <w:tcW w:w="1725" w:type="dxa"/>
                  <w:tcBorders>
                    <w:tl2br w:val="nil"/>
                    <w:tr2bl w:val="nil"/>
                  </w:tcBorders>
                  <w:vAlign w:val="center"/>
                </w:tcPr>
                <w:p w14:paraId="0937A183">
                  <w:pPr>
                    <w:pStyle w:val="33"/>
                    <w:rPr>
                      <w:color w:val="auto"/>
                    </w:rPr>
                  </w:pPr>
                  <w:r>
                    <w:rPr>
                      <w:color w:val="auto"/>
                    </w:rPr>
                    <w:t>含尘废气、油烟废气</w:t>
                  </w:r>
                </w:p>
              </w:tc>
              <w:tc>
                <w:tcPr>
                  <w:tcW w:w="1595" w:type="dxa"/>
                  <w:tcBorders>
                    <w:tl2br w:val="nil"/>
                    <w:tr2bl w:val="nil"/>
                  </w:tcBorders>
                  <w:vAlign w:val="center"/>
                </w:tcPr>
                <w:p w14:paraId="363BDA4F">
                  <w:pPr>
                    <w:pStyle w:val="33"/>
                    <w:rPr>
                      <w:color w:val="auto"/>
                    </w:rPr>
                  </w:pPr>
                  <w:r>
                    <w:rPr>
                      <w:color w:val="auto"/>
                    </w:rPr>
                    <w:t>治理设施故障、非正常排放</w:t>
                  </w:r>
                </w:p>
              </w:tc>
              <w:tc>
                <w:tcPr>
                  <w:tcW w:w="1603" w:type="dxa"/>
                  <w:tcBorders>
                    <w:tl2br w:val="nil"/>
                    <w:tr2bl w:val="nil"/>
                  </w:tcBorders>
                  <w:vAlign w:val="center"/>
                </w:tcPr>
                <w:p w14:paraId="3132D99F">
                  <w:pPr>
                    <w:pStyle w:val="33"/>
                    <w:rPr>
                      <w:color w:val="auto"/>
                    </w:rPr>
                  </w:pPr>
                  <w:r>
                    <w:rPr>
                      <w:color w:val="auto"/>
                    </w:rPr>
                    <w:t>大气扩散</w:t>
                  </w:r>
                </w:p>
              </w:tc>
              <w:tc>
                <w:tcPr>
                  <w:tcW w:w="1603" w:type="dxa"/>
                  <w:tcBorders>
                    <w:tl2br w:val="nil"/>
                    <w:tr2bl w:val="nil"/>
                  </w:tcBorders>
                  <w:vAlign w:val="center"/>
                </w:tcPr>
                <w:p w14:paraId="06D38933">
                  <w:pPr>
                    <w:pStyle w:val="33"/>
                    <w:rPr>
                      <w:color w:val="auto"/>
                    </w:rPr>
                  </w:pPr>
                  <w:r>
                    <w:rPr>
                      <w:color w:val="auto"/>
                    </w:rPr>
                    <w:t>环境空气</w:t>
                  </w:r>
                </w:p>
              </w:tc>
            </w:tr>
            <w:tr w14:paraId="799BB2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86" w:type="dxa"/>
                  <w:tcBorders>
                    <w:tl2br w:val="nil"/>
                    <w:tr2bl w:val="nil"/>
                  </w:tcBorders>
                  <w:vAlign w:val="center"/>
                </w:tcPr>
                <w:p w14:paraId="346C302B">
                  <w:pPr>
                    <w:pStyle w:val="33"/>
                    <w:rPr>
                      <w:rFonts w:hint="default" w:eastAsia="宋体"/>
                      <w:color w:val="auto"/>
                      <w:lang w:val="en-US" w:eastAsia="zh-CN"/>
                    </w:rPr>
                  </w:pPr>
                  <w:r>
                    <w:rPr>
                      <w:rFonts w:hint="eastAsia"/>
                      <w:color w:val="auto"/>
                      <w:lang w:val="en-US" w:eastAsia="zh-CN"/>
                    </w:rPr>
                    <w:t>危废暂存点</w:t>
                  </w:r>
                </w:p>
              </w:tc>
              <w:tc>
                <w:tcPr>
                  <w:tcW w:w="1725" w:type="dxa"/>
                  <w:tcBorders>
                    <w:tl2br w:val="nil"/>
                    <w:tr2bl w:val="nil"/>
                  </w:tcBorders>
                  <w:vAlign w:val="center"/>
                </w:tcPr>
                <w:p w14:paraId="3580AA87">
                  <w:pPr>
                    <w:pStyle w:val="33"/>
                    <w:rPr>
                      <w:color w:val="auto"/>
                    </w:rPr>
                  </w:pPr>
                  <w:r>
                    <w:rPr>
                      <w:color w:val="auto"/>
                    </w:rPr>
                    <w:t>废润滑油、含油抹布及劳保用品</w:t>
                  </w:r>
                </w:p>
              </w:tc>
              <w:tc>
                <w:tcPr>
                  <w:tcW w:w="1595" w:type="dxa"/>
                  <w:tcBorders>
                    <w:tl2br w:val="nil"/>
                    <w:tr2bl w:val="nil"/>
                  </w:tcBorders>
                  <w:vAlign w:val="center"/>
                </w:tcPr>
                <w:p w14:paraId="241ACCC5">
                  <w:pPr>
                    <w:pStyle w:val="33"/>
                    <w:rPr>
                      <w:color w:val="auto"/>
                    </w:rPr>
                  </w:pPr>
                  <w:r>
                    <w:rPr>
                      <w:color w:val="auto"/>
                    </w:rPr>
                    <w:t>泄漏、火灾</w:t>
                  </w:r>
                </w:p>
              </w:tc>
              <w:tc>
                <w:tcPr>
                  <w:tcW w:w="1603" w:type="dxa"/>
                  <w:tcBorders>
                    <w:tl2br w:val="nil"/>
                    <w:tr2bl w:val="nil"/>
                  </w:tcBorders>
                  <w:vAlign w:val="center"/>
                </w:tcPr>
                <w:p w14:paraId="332E5F3C">
                  <w:pPr>
                    <w:pStyle w:val="33"/>
                    <w:rPr>
                      <w:color w:val="auto"/>
                    </w:rPr>
                  </w:pPr>
                  <w:r>
                    <w:rPr>
                      <w:color w:val="auto"/>
                    </w:rPr>
                    <w:t>地面漫流、下渗及异味扩散</w:t>
                  </w:r>
                </w:p>
              </w:tc>
              <w:tc>
                <w:tcPr>
                  <w:tcW w:w="1603" w:type="dxa"/>
                  <w:tcBorders>
                    <w:tl2br w:val="nil"/>
                    <w:tr2bl w:val="nil"/>
                  </w:tcBorders>
                  <w:vAlign w:val="center"/>
                </w:tcPr>
                <w:p w14:paraId="15084715">
                  <w:pPr>
                    <w:pStyle w:val="33"/>
                    <w:rPr>
                      <w:color w:val="auto"/>
                    </w:rPr>
                  </w:pPr>
                  <w:r>
                    <w:rPr>
                      <w:color w:val="auto"/>
                    </w:rPr>
                    <w:t>土壤、地下水、环境空气</w:t>
                  </w:r>
                </w:p>
              </w:tc>
            </w:tr>
          </w:tbl>
          <w:p w14:paraId="65211864">
            <w:pPr>
              <w:ind w:firstLine="482"/>
              <w:rPr>
                <w:color w:val="auto"/>
              </w:rPr>
            </w:pPr>
            <w:r>
              <w:rPr>
                <w:rFonts w:hint="eastAsia"/>
                <w:b/>
                <w:bCs/>
                <w:color w:val="auto"/>
              </w:rPr>
              <w:t>（2）风险影响分析</w:t>
            </w:r>
          </w:p>
          <w:p w14:paraId="41B193DD">
            <w:pPr>
              <w:ind w:firstLine="482"/>
              <w:rPr>
                <w:color w:val="auto"/>
              </w:rPr>
            </w:pPr>
            <w:r>
              <w:rPr>
                <w:rFonts w:hint="eastAsia"/>
                <w:b/>
                <w:bCs/>
                <w:color w:val="auto"/>
              </w:rPr>
              <w:t>1）生产废水事故排放风险</w:t>
            </w:r>
          </w:p>
          <w:p w14:paraId="54824F77">
            <w:pPr>
              <w:ind w:firstLine="480"/>
              <w:rPr>
                <w:color w:val="auto"/>
              </w:rPr>
            </w:pPr>
            <w:r>
              <w:rPr>
                <w:color w:val="auto"/>
              </w:rPr>
              <w:t>本项目生产废水主要包括原料清洗废水、设备及容器清洗废水和车间地面清洗废水，</w:t>
            </w:r>
            <w:r>
              <w:rPr>
                <w:rFonts w:hint="eastAsia"/>
                <w:color w:val="auto"/>
                <w:lang w:eastAsia="zh-CN"/>
              </w:rPr>
              <w:t>经厂区自建污水处理设施“隔油沉淀+一体化A/O工艺”</w:t>
            </w:r>
            <w:r>
              <w:rPr>
                <w:color w:val="auto"/>
              </w:rPr>
              <w:t>处理后排入市政污水管网。若生产废水收集管线破损、隔油或沉淀设施发生渗漏、堵塞、溢流等事故，可能造成未经处理的生产废水进入地面或雨水系统。事故废水中主要含COD</w:t>
            </w:r>
            <w:r>
              <w:rPr>
                <w:color w:val="auto"/>
                <w:vertAlign w:val="subscript"/>
              </w:rPr>
              <w:t>Cr</w:t>
            </w:r>
            <w:r>
              <w:rPr>
                <w:color w:val="auto"/>
              </w:rPr>
              <w:t>、BOD</w:t>
            </w:r>
            <w:r>
              <w:rPr>
                <w:rFonts w:hint="eastAsia"/>
                <w:color w:val="auto"/>
                <w:vertAlign w:val="subscript"/>
              </w:rPr>
              <w:t>5</w:t>
            </w:r>
            <w:r>
              <w:rPr>
                <w:color w:val="auto"/>
              </w:rPr>
              <w:t>、SS及动植物油等污染物，若进入周边地表水体可能对水环境造成一定影响；长期渗漏还可能对局部土壤及地下水产生影响。</w:t>
            </w:r>
          </w:p>
          <w:p w14:paraId="262F5B54">
            <w:pPr>
              <w:ind w:firstLine="480"/>
              <w:rPr>
                <w:color w:val="auto"/>
              </w:rPr>
            </w:pPr>
            <w:r>
              <w:rPr>
                <w:color w:val="auto"/>
              </w:rPr>
              <w:t>因此，运行过程中应加强生产废水收集管道、隔油池及沉淀设施的日常巡检和维护，出现异常时立即停止相关涉水生产工序，并将事故废水收集暂存，待设施恢复正常后再进行处理。</w:t>
            </w:r>
          </w:p>
          <w:p w14:paraId="01CF69DB">
            <w:pPr>
              <w:ind w:firstLine="482"/>
              <w:rPr>
                <w:b/>
                <w:bCs/>
                <w:color w:val="auto"/>
              </w:rPr>
            </w:pPr>
            <w:r>
              <w:rPr>
                <w:rFonts w:hint="eastAsia"/>
                <w:b/>
                <w:bCs/>
                <w:color w:val="auto"/>
              </w:rPr>
              <w:t>2）天然气泄漏及火灾爆炸风险</w:t>
            </w:r>
          </w:p>
          <w:p w14:paraId="0D1C9CDA">
            <w:pPr>
              <w:ind w:firstLine="480"/>
              <w:rPr>
                <w:color w:val="auto"/>
              </w:rPr>
            </w:pPr>
            <w:r>
              <w:rPr>
                <w:color w:val="auto"/>
              </w:rPr>
              <w:t>本项目熟制、炒制过程采用天然气作为燃料。天然气属于易燃气体，若供气管线、阀门或连接部位发生破损、松动，可能导致天然气泄漏；当泄漏气体与空气形成可燃混合物并遇明火或高温表面时，可能引发火灾或爆炸。</w:t>
            </w:r>
          </w:p>
          <w:p w14:paraId="1DBA03B5">
            <w:pPr>
              <w:ind w:firstLine="480"/>
              <w:rPr>
                <w:color w:val="auto"/>
              </w:rPr>
            </w:pPr>
            <w:r>
              <w:rPr>
                <w:color w:val="auto"/>
              </w:rPr>
              <w:t>天然气泄漏后主要对厂区及周边环境空气产生影响，火灾过程中可能产生CO、烟尘等伴生污染物，同时灭火过程中可能产生消防废水。由于本项目不设置天然气储罐，厂内天然气最大存在量较小，事故后果主要集中在厂区及邻近区域。</w:t>
            </w:r>
          </w:p>
          <w:p w14:paraId="042CFD2E">
            <w:pPr>
              <w:ind w:firstLine="482"/>
              <w:rPr>
                <w:b/>
                <w:bCs/>
                <w:color w:val="auto"/>
              </w:rPr>
            </w:pPr>
            <w:r>
              <w:rPr>
                <w:rFonts w:hint="eastAsia"/>
                <w:b/>
                <w:bCs/>
                <w:color w:val="auto"/>
              </w:rPr>
              <w:t>3）可燃物火灾次生环境风险</w:t>
            </w:r>
          </w:p>
          <w:p w14:paraId="4CF98E69">
            <w:pPr>
              <w:ind w:firstLine="480"/>
              <w:rPr>
                <w:color w:val="auto"/>
              </w:rPr>
            </w:pPr>
            <w:r>
              <w:rPr>
                <w:rFonts w:hint="eastAsia"/>
                <w:color w:val="auto"/>
              </w:rPr>
              <w:t>本项目食用植物油以及纸箱、塑料包装材料等具有一定可燃性。若电气线路短路、设备过热或人为操作不当引发火灾，燃烧过程会产生烟尘、CO及其他燃烧产物，对周边环境空气产生短时影响；灭火过程中产生的消防废水若未经截流进入雨水管网，也可能造成次生水环境污染。</w:t>
            </w:r>
          </w:p>
          <w:p w14:paraId="1CD93949">
            <w:pPr>
              <w:ind w:firstLine="482"/>
              <w:rPr>
                <w:color w:val="auto"/>
              </w:rPr>
            </w:pPr>
            <w:r>
              <w:rPr>
                <w:rFonts w:hint="eastAsia"/>
                <w:b/>
                <w:bCs/>
                <w:color w:val="auto"/>
              </w:rPr>
              <w:t>4）废气治理设施异常运行风险</w:t>
            </w:r>
          </w:p>
          <w:p w14:paraId="54776D4D">
            <w:pPr>
              <w:ind w:firstLine="480"/>
              <w:rPr>
                <w:color w:val="auto"/>
              </w:rPr>
            </w:pPr>
            <w:r>
              <w:rPr>
                <w:color w:val="auto"/>
              </w:rPr>
              <w:t>项目粉碎、投料等含尘废气采用除尘设施处理，熟制、炒制油烟采用油烟净化设施处理。当袋式除尘器、风机或油烟净化设施发生故障时，可能导致颗粒物或油烟短时间非正常排放。发现废气治理设施故障后，应立即停止相应产污工序，待治理设施恢复正常后方可重新生产。</w:t>
            </w:r>
          </w:p>
          <w:p w14:paraId="04A8FD44">
            <w:pPr>
              <w:ind w:firstLine="482"/>
              <w:rPr>
                <w:color w:val="auto"/>
              </w:rPr>
            </w:pPr>
            <w:r>
              <w:rPr>
                <w:rFonts w:hint="eastAsia"/>
                <w:b/>
                <w:bCs/>
                <w:color w:val="auto"/>
              </w:rPr>
              <w:t>（3）环境风险防范措施</w:t>
            </w:r>
          </w:p>
          <w:p w14:paraId="1388638E">
            <w:pPr>
              <w:ind w:firstLine="480"/>
              <w:rPr>
                <w:color w:val="auto"/>
              </w:rPr>
            </w:pPr>
            <w:r>
              <w:rPr>
                <w:rFonts w:hint="eastAsia"/>
                <w:color w:val="auto"/>
                <w:lang w:val="en-US" w:eastAsia="zh-CN"/>
              </w:rPr>
              <w:t>1）</w:t>
            </w:r>
            <w:r>
              <w:rPr>
                <w:color w:val="auto"/>
              </w:rPr>
              <w:t>加强生产废水收集管道、隔油沉淀池及A/O一体化污水处理设备的日常检查和维护。发生故障或泄漏时，立即停止相关涉水工序，利用临时密闭容器收集事故废水，禁止事故废水进入雨水系统。</w:t>
            </w:r>
          </w:p>
          <w:p w14:paraId="173D4AC1">
            <w:pPr>
              <w:ind w:firstLine="480"/>
              <w:rPr>
                <w:color w:val="auto"/>
              </w:rPr>
            </w:pPr>
            <w:r>
              <w:rPr>
                <w:rFonts w:hint="eastAsia"/>
                <w:color w:val="auto"/>
                <w:lang w:val="en-US" w:eastAsia="zh-CN"/>
              </w:rPr>
              <w:t>2）</w:t>
            </w:r>
            <w:r>
              <w:rPr>
                <w:color w:val="auto"/>
              </w:rPr>
              <w:t>天然气管道、阀门及接口定期检查，设置可燃气体报警和紧急切断设施，保持用气区域通风，严禁烟火，并配备灭火器等消防器材。</w:t>
            </w:r>
          </w:p>
          <w:p w14:paraId="3AAC3E78">
            <w:pPr>
              <w:ind w:firstLine="480"/>
              <w:rPr>
                <w:color w:val="auto"/>
              </w:rPr>
            </w:pPr>
            <w:r>
              <w:rPr>
                <w:rFonts w:hint="eastAsia"/>
                <w:color w:val="auto"/>
                <w:lang w:val="en-US" w:eastAsia="zh-CN"/>
              </w:rPr>
              <w:t>3）</w:t>
            </w:r>
            <w:r>
              <w:rPr>
                <w:color w:val="auto"/>
              </w:rPr>
              <w:t>定期检查油烟净化设施、风机和集气管道。治理设施发生故障时，立即停止相应生产工序，待设施恢复正常后方可重新生产。</w:t>
            </w:r>
          </w:p>
          <w:p w14:paraId="5FB0F408">
            <w:pPr>
              <w:ind w:firstLine="480"/>
              <w:rPr>
                <w:color w:val="auto"/>
              </w:rPr>
            </w:pPr>
            <w:r>
              <w:rPr>
                <w:rFonts w:hint="eastAsia"/>
                <w:color w:val="auto"/>
                <w:lang w:val="en-US" w:eastAsia="zh-CN"/>
              </w:rPr>
              <w:t>4）</w:t>
            </w:r>
            <w:r>
              <w:rPr>
                <w:color w:val="auto"/>
              </w:rPr>
              <w:t>危废贮存点采取防风、防雨、防晒、防渗漏措施。废润滑油采用密闭容器并设置防渗托盘，含油抹布及劳保用品采用密闭容器分类收集，规范设置危险废物标签和管理台账，定期委托有资质单位处置。</w:t>
            </w:r>
          </w:p>
          <w:p w14:paraId="23DF49AA">
            <w:pPr>
              <w:ind w:firstLine="480"/>
              <w:rPr>
                <w:color w:val="auto"/>
              </w:rPr>
            </w:pPr>
            <w:r>
              <w:rPr>
                <w:rFonts w:hint="eastAsia"/>
                <w:color w:val="auto"/>
                <w:lang w:val="en-US" w:eastAsia="zh-CN"/>
              </w:rPr>
              <w:t>5）</w:t>
            </w:r>
            <w:r>
              <w:rPr>
                <w:color w:val="auto"/>
              </w:rPr>
              <w:t>食用植物油及其他液态原料采用密闭容器储存；厂区配备吸油毡、沙袋、收集桶等应急物资，并定期开展环境风险隐患排查和应急演练。</w:t>
            </w:r>
          </w:p>
          <w:p w14:paraId="7CAF3563">
            <w:pPr>
              <w:ind w:firstLine="482"/>
              <w:rPr>
                <w:color w:val="auto"/>
              </w:rPr>
            </w:pPr>
            <w:r>
              <w:rPr>
                <w:rFonts w:hint="eastAsia"/>
                <w:b/>
                <w:bCs/>
                <w:color w:val="auto"/>
              </w:rPr>
              <w:t>（4）小结</w:t>
            </w:r>
          </w:p>
          <w:p w14:paraId="316656D3">
            <w:pPr>
              <w:ind w:firstLine="480"/>
              <w:rPr>
                <w:color w:val="auto"/>
              </w:rPr>
            </w:pPr>
            <w:r>
              <w:rPr>
                <w:color w:val="auto"/>
              </w:rPr>
              <w:t>本项目涉及的环境风险物质主要为天然气和废润滑油。天然气由市政管道供应，厂内不设储罐，废润滑油产生及暂存量较少，经计算危险物质数量与临界量比值Q＜1，项目环境风险潜势为Ⅰ。</w:t>
            </w:r>
          </w:p>
          <w:p w14:paraId="0ABC74E7">
            <w:pPr>
              <w:ind w:firstLine="480"/>
              <w:rPr>
                <w:color w:val="auto"/>
              </w:rPr>
            </w:pPr>
            <w:r>
              <w:rPr>
                <w:color w:val="auto"/>
              </w:rPr>
              <w:t>项目主要环境风险为天然气泄漏及火灾、生产废水事故排放、可燃物火灾、废气治理设施故障以及危险废物泄漏。通过落实天然气管线检查及紧急切断、废水事故收集、雨水系统应急封堵、危废贮存点防渗和泄漏收集、消防设施及应急物资配备等措施，可有效降低环境风险事故发生概率及影响，项目环境风险总体可控。</w:t>
            </w:r>
          </w:p>
          <w:p w14:paraId="661162BD">
            <w:pPr>
              <w:ind w:firstLine="482"/>
              <w:rPr>
                <w:color w:val="auto"/>
              </w:rPr>
            </w:pPr>
            <w:r>
              <w:rPr>
                <w:rFonts w:hint="eastAsia"/>
                <w:b/>
                <w:bCs/>
                <w:color w:val="auto"/>
              </w:rPr>
              <w:t>7、环保投资</w:t>
            </w:r>
          </w:p>
          <w:p w14:paraId="4405E838">
            <w:pPr>
              <w:ind w:firstLine="480"/>
              <w:rPr>
                <w:color w:val="auto"/>
              </w:rPr>
            </w:pPr>
            <w:r>
              <w:rPr>
                <w:rFonts w:hint="eastAsia"/>
                <w:color w:val="auto"/>
              </w:rPr>
              <w:t>本项目总投资约200万元，环保投资</w:t>
            </w:r>
            <w:r>
              <w:rPr>
                <w:rFonts w:hint="eastAsia"/>
                <w:color w:val="auto"/>
                <w:lang w:val="en-US" w:eastAsia="zh-CN"/>
              </w:rPr>
              <w:t>3</w:t>
            </w:r>
            <w:r>
              <w:rPr>
                <w:rFonts w:hint="eastAsia"/>
                <w:color w:val="auto"/>
              </w:rPr>
              <w:t>8.5万元，占项目建设投资的比例为</w:t>
            </w:r>
            <w:r>
              <w:rPr>
                <w:rFonts w:hint="eastAsia"/>
                <w:color w:val="auto"/>
                <w:lang w:eastAsia="zh-CN"/>
              </w:rPr>
              <w:t>19.25%</w:t>
            </w:r>
            <w:r>
              <w:rPr>
                <w:rFonts w:hint="eastAsia"/>
                <w:color w:val="auto"/>
              </w:rPr>
              <w:t>，具体环保措施情况见下表。</w:t>
            </w:r>
          </w:p>
          <w:p w14:paraId="31AA73FA">
            <w:pPr>
              <w:pStyle w:val="35"/>
              <w:rPr>
                <w:rFonts w:hint="default"/>
                <w:color w:val="auto"/>
              </w:rPr>
            </w:pPr>
            <w:r>
              <w:rPr>
                <w:color w:val="auto"/>
              </w:rPr>
              <w:t>表4-16 本项目环保设施及投资估算一览表</w:t>
            </w:r>
          </w:p>
          <w:tbl>
            <w:tblPr>
              <w:tblStyle w:val="17"/>
              <w:tblW w:w="8012"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1"/>
              <w:gridCol w:w="1140"/>
              <w:gridCol w:w="1485"/>
              <w:gridCol w:w="3825"/>
              <w:gridCol w:w="931"/>
            </w:tblGrid>
            <w:tr w14:paraId="6ED18D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31" w:type="dxa"/>
                  <w:tcBorders>
                    <w:tl2br w:val="nil"/>
                    <w:tr2bl w:val="nil"/>
                  </w:tcBorders>
                  <w:vAlign w:val="center"/>
                </w:tcPr>
                <w:p w14:paraId="73300A2B">
                  <w:pPr>
                    <w:pStyle w:val="33"/>
                    <w:rPr>
                      <w:color w:val="auto"/>
                    </w:rPr>
                  </w:pPr>
                  <w:r>
                    <w:rPr>
                      <w:rFonts w:hint="eastAsia"/>
                      <w:color w:val="auto"/>
                    </w:rPr>
                    <w:t>序号</w:t>
                  </w:r>
                </w:p>
              </w:tc>
              <w:tc>
                <w:tcPr>
                  <w:tcW w:w="1140" w:type="dxa"/>
                  <w:tcBorders>
                    <w:tl2br w:val="nil"/>
                    <w:tr2bl w:val="nil"/>
                  </w:tcBorders>
                  <w:vAlign w:val="center"/>
                </w:tcPr>
                <w:p w14:paraId="15031759">
                  <w:pPr>
                    <w:pStyle w:val="33"/>
                    <w:rPr>
                      <w:color w:val="auto"/>
                    </w:rPr>
                  </w:pPr>
                  <w:r>
                    <w:rPr>
                      <w:rFonts w:hint="eastAsia"/>
                      <w:color w:val="auto"/>
                    </w:rPr>
                    <w:t>类别</w:t>
                  </w:r>
                </w:p>
              </w:tc>
              <w:tc>
                <w:tcPr>
                  <w:tcW w:w="1485" w:type="dxa"/>
                  <w:tcBorders>
                    <w:tl2br w:val="nil"/>
                    <w:tr2bl w:val="nil"/>
                  </w:tcBorders>
                  <w:vAlign w:val="center"/>
                </w:tcPr>
                <w:p w14:paraId="32A37166">
                  <w:pPr>
                    <w:pStyle w:val="33"/>
                    <w:rPr>
                      <w:color w:val="auto"/>
                    </w:rPr>
                  </w:pPr>
                  <w:r>
                    <w:rPr>
                      <w:rFonts w:hint="eastAsia"/>
                      <w:color w:val="auto"/>
                    </w:rPr>
                    <w:t>污染物项目</w:t>
                  </w:r>
                </w:p>
              </w:tc>
              <w:tc>
                <w:tcPr>
                  <w:tcW w:w="3825" w:type="dxa"/>
                  <w:tcBorders>
                    <w:tl2br w:val="nil"/>
                    <w:tr2bl w:val="nil"/>
                  </w:tcBorders>
                  <w:vAlign w:val="center"/>
                </w:tcPr>
                <w:p w14:paraId="43421525">
                  <w:pPr>
                    <w:pStyle w:val="33"/>
                    <w:rPr>
                      <w:color w:val="auto"/>
                    </w:rPr>
                  </w:pPr>
                  <w:r>
                    <w:rPr>
                      <w:rFonts w:hint="eastAsia"/>
                      <w:color w:val="auto"/>
                    </w:rPr>
                    <w:t>环保措施</w:t>
                  </w:r>
                </w:p>
              </w:tc>
              <w:tc>
                <w:tcPr>
                  <w:tcW w:w="931" w:type="dxa"/>
                  <w:tcBorders>
                    <w:tl2br w:val="nil"/>
                    <w:tr2bl w:val="nil"/>
                  </w:tcBorders>
                  <w:vAlign w:val="center"/>
                </w:tcPr>
                <w:p w14:paraId="59320408">
                  <w:pPr>
                    <w:pStyle w:val="33"/>
                    <w:rPr>
                      <w:color w:val="auto"/>
                    </w:rPr>
                  </w:pPr>
                  <w:r>
                    <w:rPr>
                      <w:rFonts w:hint="eastAsia"/>
                      <w:color w:val="auto"/>
                    </w:rPr>
                    <w:t>投资（万元）</w:t>
                  </w:r>
                </w:p>
              </w:tc>
            </w:tr>
            <w:tr w14:paraId="05178C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31" w:type="dxa"/>
                  <w:vMerge w:val="restart"/>
                  <w:tcBorders>
                    <w:tl2br w:val="nil"/>
                    <w:tr2bl w:val="nil"/>
                  </w:tcBorders>
                  <w:vAlign w:val="center"/>
                </w:tcPr>
                <w:p w14:paraId="78363AAF">
                  <w:pPr>
                    <w:pStyle w:val="33"/>
                    <w:rPr>
                      <w:color w:val="auto"/>
                    </w:rPr>
                  </w:pPr>
                  <w:r>
                    <w:rPr>
                      <w:rFonts w:hint="eastAsia"/>
                      <w:color w:val="auto"/>
                    </w:rPr>
                    <w:t>1</w:t>
                  </w:r>
                </w:p>
              </w:tc>
              <w:tc>
                <w:tcPr>
                  <w:tcW w:w="1140" w:type="dxa"/>
                  <w:vMerge w:val="restart"/>
                  <w:tcBorders>
                    <w:tl2br w:val="nil"/>
                    <w:tr2bl w:val="nil"/>
                  </w:tcBorders>
                  <w:vAlign w:val="center"/>
                </w:tcPr>
                <w:p w14:paraId="537634FF">
                  <w:pPr>
                    <w:pStyle w:val="33"/>
                    <w:rPr>
                      <w:color w:val="auto"/>
                    </w:rPr>
                  </w:pPr>
                  <w:r>
                    <w:rPr>
                      <w:rFonts w:hint="eastAsia"/>
                      <w:color w:val="auto"/>
                    </w:rPr>
                    <w:t>废水治理</w:t>
                  </w:r>
                </w:p>
              </w:tc>
              <w:tc>
                <w:tcPr>
                  <w:tcW w:w="1485" w:type="dxa"/>
                  <w:tcBorders>
                    <w:tl2br w:val="nil"/>
                    <w:tr2bl w:val="nil"/>
                  </w:tcBorders>
                  <w:vAlign w:val="center"/>
                </w:tcPr>
                <w:p w14:paraId="78DC0A5A">
                  <w:pPr>
                    <w:pStyle w:val="33"/>
                    <w:rPr>
                      <w:color w:val="auto"/>
                    </w:rPr>
                  </w:pPr>
                  <w:r>
                    <w:rPr>
                      <w:rFonts w:hint="eastAsia"/>
                      <w:color w:val="auto"/>
                    </w:rPr>
                    <w:t>生产废水</w:t>
                  </w:r>
                </w:p>
              </w:tc>
              <w:tc>
                <w:tcPr>
                  <w:tcW w:w="3825" w:type="dxa"/>
                  <w:tcBorders>
                    <w:tl2br w:val="nil"/>
                    <w:tr2bl w:val="nil"/>
                  </w:tcBorders>
                  <w:vAlign w:val="center"/>
                </w:tcPr>
                <w:p w14:paraId="2C86183B">
                  <w:pPr>
                    <w:pStyle w:val="33"/>
                    <w:rPr>
                      <w:rFonts w:hint="default" w:eastAsia="宋体"/>
                      <w:color w:val="auto"/>
                      <w:lang w:val="en-US" w:eastAsia="zh-CN"/>
                    </w:rPr>
                  </w:pPr>
                  <w:r>
                    <w:rPr>
                      <w:color w:val="auto"/>
                    </w:rPr>
                    <w:t>生产废水收集管网，设置隔油沉淀池</w:t>
                  </w:r>
                  <w:r>
                    <w:rPr>
                      <w:rStyle w:val="34"/>
                      <w:rFonts w:hint="eastAsia"/>
                      <w:color w:val="auto"/>
                      <w:lang w:val="en-US" w:eastAsia="zh-CN"/>
                    </w:rPr>
                    <w:t>+一体化处理设备</w:t>
                  </w:r>
                </w:p>
              </w:tc>
              <w:tc>
                <w:tcPr>
                  <w:tcW w:w="931" w:type="dxa"/>
                  <w:tcBorders>
                    <w:tl2br w:val="nil"/>
                    <w:tr2bl w:val="nil"/>
                  </w:tcBorders>
                  <w:vAlign w:val="center"/>
                </w:tcPr>
                <w:p w14:paraId="2F5C5AE3">
                  <w:pPr>
                    <w:pStyle w:val="33"/>
                    <w:rPr>
                      <w:rFonts w:hint="default" w:eastAsia="宋体"/>
                      <w:color w:val="auto"/>
                      <w:lang w:val="en-US" w:eastAsia="zh-CN"/>
                    </w:rPr>
                  </w:pPr>
                  <w:r>
                    <w:rPr>
                      <w:rFonts w:hint="eastAsia"/>
                      <w:color w:val="auto"/>
                      <w:lang w:val="en-US" w:eastAsia="zh-CN"/>
                    </w:rPr>
                    <w:t>15</w:t>
                  </w:r>
                </w:p>
              </w:tc>
            </w:tr>
            <w:tr w14:paraId="4E3FB8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31" w:type="dxa"/>
                  <w:vMerge w:val="continue"/>
                  <w:tcBorders>
                    <w:tl2br w:val="nil"/>
                    <w:tr2bl w:val="nil"/>
                  </w:tcBorders>
                  <w:vAlign w:val="center"/>
                </w:tcPr>
                <w:p w14:paraId="738677D3">
                  <w:pPr>
                    <w:pStyle w:val="33"/>
                    <w:rPr>
                      <w:color w:val="auto"/>
                    </w:rPr>
                  </w:pPr>
                </w:p>
              </w:tc>
              <w:tc>
                <w:tcPr>
                  <w:tcW w:w="1140" w:type="dxa"/>
                  <w:vMerge w:val="continue"/>
                  <w:tcBorders>
                    <w:tl2br w:val="nil"/>
                    <w:tr2bl w:val="nil"/>
                  </w:tcBorders>
                  <w:vAlign w:val="center"/>
                </w:tcPr>
                <w:p w14:paraId="08AFD30A">
                  <w:pPr>
                    <w:pStyle w:val="33"/>
                    <w:rPr>
                      <w:color w:val="auto"/>
                    </w:rPr>
                  </w:pPr>
                </w:p>
              </w:tc>
              <w:tc>
                <w:tcPr>
                  <w:tcW w:w="1485" w:type="dxa"/>
                  <w:tcBorders>
                    <w:tl2br w:val="nil"/>
                    <w:tr2bl w:val="nil"/>
                  </w:tcBorders>
                  <w:vAlign w:val="center"/>
                </w:tcPr>
                <w:p w14:paraId="5C3FE3FF">
                  <w:pPr>
                    <w:pStyle w:val="33"/>
                    <w:rPr>
                      <w:color w:val="auto"/>
                    </w:rPr>
                  </w:pPr>
                  <w:r>
                    <w:rPr>
                      <w:rFonts w:hint="eastAsia"/>
                      <w:color w:val="auto"/>
                    </w:rPr>
                    <w:t>生活废水</w:t>
                  </w:r>
                </w:p>
              </w:tc>
              <w:tc>
                <w:tcPr>
                  <w:tcW w:w="3825" w:type="dxa"/>
                  <w:tcBorders>
                    <w:tl2br w:val="nil"/>
                    <w:tr2bl w:val="nil"/>
                  </w:tcBorders>
                  <w:vAlign w:val="center"/>
                </w:tcPr>
                <w:p w14:paraId="1A1AA4C6">
                  <w:pPr>
                    <w:pStyle w:val="33"/>
                    <w:rPr>
                      <w:color w:val="auto"/>
                    </w:rPr>
                  </w:pPr>
                  <w:r>
                    <w:rPr>
                      <w:rFonts w:hint="eastAsia"/>
                      <w:color w:val="auto"/>
                    </w:rPr>
                    <w:t>经化粪池预处理后排入市政污水管网</w:t>
                  </w:r>
                </w:p>
              </w:tc>
              <w:tc>
                <w:tcPr>
                  <w:tcW w:w="931" w:type="dxa"/>
                  <w:tcBorders>
                    <w:tl2br w:val="nil"/>
                    <w:tr2bl w:val="nil"/>
                  </w:tcBorders>
                  <w:vAlign w:val="center"/>
                </w:tcPr>
                <w:p w14:paraId="0B30126E">
                  <w:pPr>
                    <w:pStyle w:val="33"/>
                    <w:rPr>
                      <w:color w:val="auto"/>
                    </w:rPr>
                  </w:pPr>
                  <w:r>
                    <w:rPr>
                      <w:rFonts w:hint="eastAsia"/>
                      <w:color w:val="auto"/>
                    </w:rPr>
                    <w:t>1</w:t>
                  </w:r>
                </w:p>
              </w:tc>
            </w:tr>
            <w:tr w14:paraId="56EE83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31" w:type="dxa"/>
                  <w:vMerge w:val="restart"/>
                  <w:tcBorders>
                    <w:tl2br w:val="nil"/>
                    <w:tr2bl w:val="nil"/>
                  </w:tcBorders>
                  <w:vAlign w:val="center"/>
                </w:tcPr>
                <w:p w14:paraId="7DA5B043">
                  <w:pPr>
                    <w:pStyle w:val="33"/>
                    <w:rPr>
                      <w:color w:val="auto"/>
                    </w:rPr>
                  </w:pPr>
                  <w:r>
                    <w:rPr>
                      <w:rFonts w:hint="eastAsia"/>
                      <w:color w:val="auto"/>
                    </w:rPr>
                    <w:t>2</w:t>
                  </w:r>
                </w:p>
              </w:tc>
              <w:tc>
                <w:tcPr>
                  <w:tcW w:w="1140" w:type="dxa"/>
                  <w:vMerge w:val="restart"/>
                  <w:tcBorders>
                    <w:tl2br w:val="nil"/>
                    <w:tr2bl w:val="nil"/>
                  </w:tcBorders>
                  <w:vAlign w:val="center"/>
                </w:tcPr>
                <w:p w14:paraId="5867F093">
                  <w:pPr>
                    <w:pStyle w:val="33"/>
                    <w:rPr>
                      <w:color w:val="auto"/>
                    </w:rPr>
                  </w:pPr>
                  <w:r>
                    <w:rPr>
                      <w:rFonts w:hint="eastAsia"/>
                      <w:color w:val="auto"/>
                    </w:rPr>
                    <w:t>废气治理</w:t>
                  </w:r>
                </w:p>
              </w:tc>
              <w:tc>
                <w:tcPr>
                  <w:tcW w:w="1485" w:type="dxa"/>
                  <w:tcBorders>
                    <w:tl2br w:val="nil"/>
                    <w:tr2bl w:val="nil"/>
                  </w:tcBorders>
                  <w:vAlign w:val="center"/>
                </w:tcPr>
                <w:p w14:paraId="26852985">
                  <w:pPr>
                    <w:pStyle w:val="33"/>
                    <w:rPr>
                      <w:color w:val="auto"/>
                    </w:rPr>
                  </w:pPr>
                  <w:r>
                    <w:rPr>
                      <w:rFonts w:hint="eastAsia"/>
                      <w:color w:val="auto"/>
                    </w:rPr>
                    <w:t>粉碎、投料、调配混合及制粒干燥颗粒物</w:t>
                  </w:r>
                </w:p>
              </w:tc>
              <w:tc>
                <w:tcPr>
                  <w:tcW w:w="3825" w:type="dxa"/>
                  <w:tcBorders>
                    <w:tl2br w:val="nil"/>
                    <w:tr2bl w:val="nil"/>
                  </w:tcBorders>
                  <w:vAlign w:val="center"/>
                </w:tcPr>
                <w:p w14:paraId="5D969F4B">
                  <w:pPr>
                    <w:pStyle w:val="33"/>
                    <w:rPr>
                      <w:color w:val="auto"/>
                    </w:rPr>
                  </w:pPr>
                  <w:r>
                    <w:rPr>
                      <w:rFonts w:hint="eastAsia"/>
                      <w:color w:val="auto"/>
                    </w:rPr>
                    <w:t>生产设备运行时保持密闭，规范投料操作，加强车间通风并及时清扫，减少颗粒物无组织排放</w:t>
                  </w:r>
                </w:p>
              </w:tc>
              <w:tc>
                <w:tcPr>
                  <w:tcW w:w="931" w:type="dxa"/>
                  <w:vMerge w:val="restart"/>
                  <w:tcBorders>
                    <w:tl2br w:val="nil"/>
                    <w:tr2bl w:val="nil"/>
                  </w:tcBorders>
                  <w:vAlign w:val="center"/>
                </w:tcPr>
                <w:p w14:paraId="7669E120">
                  <w:pPr>
                    <w:pStyle w:val="33"/>
                    <w:rPr>
                      <w:color w:val="auto"/>
                    </w:rPr>
                  </w:pPr>
                  <w:r>
                    <w:rPr>
                      <w:rFonts w:hint="eastAsia"/>
                      <w:color w:val="auto"/>
                    </w:rPr>
                    <w:t>12</w:t>
                  </w:r>
                </w:p>
              </w:tc>
            </w:tr>
            <w:tr w14:paraId="5BAD59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31" w:type="dxa"/>
                  <w:vMerge w:val="continue"/>
                  <w:tcBorders>
                    <w:tl2br w:val="nil"/>
                    <w:tr2bl w:val="nil"/>
                  </w:tcBorders>
                  <w:vAlign w:val="center"/>
                </w:tcPr>
                <w:p w14:paraId="1737E7DF">
                  <w:pPr>
                    <w:pStyle w:val="33"/>
                    <w:rPr>
                      <w:color w:val="auto"/>
                    </w:rPr>
                  </w:pPr>
                </w:p>
              </w:tc>
              <w:tc>
                <w:tcPr>
                  <w:tcW w:w="1140" w:type="dxa"/>
                  <w:vMerge w:val="continue"/>
                  <w:tcBorders>
                    <w:tl2br w:val="nil"/>
                    <w:tr2bl w:val="nil"/>
                  </w:tcBorders>
                  <w:vAlign w:val="center"/>
                </w:tcPr>
                <w:p w14:paraId="56C72117">
                  <w:pPr>
                    <w:pStyle w:val="33"/>
                    <w:rPr>
                      <w:color w:val="auto"/>
                    </w:rPr>
                  </w:pPr>
                </w:p>
              </w:tc>
              <w:tc>
                <w:tcPr>
                  <w:tcW w:w="1485" w:type="dxa"/>
                  <w:tcBorders>
                    <w:tl2br w:val="nil"/>
                    <w:tr2bl w:val="nil"/>
                  </w:tcBorders>
                  <w:vAlign w:val="center"/>
                </w:tcPr>
                <w:p w14:paraId="304D4958">
                  <w:pPr>
                    <w:pStyle w:val="33"/>
                    <w:rPr>
                      <w:color w:val="auto"/>
                    </w:rPr>
                  </w:pPr>
                  <w:r>
                    <w:rPr>
                      <w:rFonts w:hint="eastAsia"/>
                      <w:color w:val="auto"/>
                    </w:rPr>
                    <w:t>熟制、炒制油烟及异味</w:t>
                  </w:r>
                </w:p>
              </w:tc>
              <w:tc>
                <w:tcPr>
                  <w:tcW w:w="3825" w:type="dxa"/>
                  <w:tcBorders>
                    <w:tl2br w:val="nil"/>
                    <w:tr2bl w:val="nil"/>
                  </w:tcBorders>
                  <w:vAlign w:val="center"/>
                </w:tcPr>
                <w:p w14:paraId="20039494">
                  <w:pPr>
                    <w:pStyle w:val="33"/>
                    <w:rPr>
                      <w:color w:val="auto"/>
                    </w:rPr>
                  </w:pPr>
                  <w:r>
                    <w:rPr>
                      <w:color w:val="auto"/>
                    </w:rPr>
                    <w:t>熟制、炒制工序设置半封闭上吸式集气罩，收集效率按90%计；油烟废气经油烟净化设施处理，净化效率按95%计</w:t>
                  </w:r>
                </w:p>
              </w:tc>
              <w:tc>
                <w:tcPr>
                  <w:tcW w:w="931" w:type="dxa"/>
                  <w:vMerge w:val="continue"/>
                  <w:tcBorders>
                    <w:tl2br w:val="nil"/>
                    <w:tr2bl w:val="nil"/>
                  </w:tcBorders>
                  <w:vAlign w:val="center"/>
                </w:tcPr>
                <w:p w14:paraId="4467C2EA">
                  <w:pPr>
                    <w:pStyle w:val="33"/>
                    <w:rPr>
                      <w:color w:val="auto"/>
                    </w:rPr>
                  </w:pPr>
                </w:p>
              </w:tc>
            </w:tr>
            <w:tr w14:paraId="1BAE5B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31" w:type="dxa"/>
                  <w:vMerge w:val="continue"/>
                  <w:tcBorders>
                    <w:tl2br w:val="nil"/>
                    <w:tr2bl w:val="nil"/>
                  </w:tcBorders>
                  <w:vAlign w:val="center"/>
                </w:tcPr>
                <w:p w14:paraId="2461DD42">
                  <w:pPr>
                    <w:pStyle w:val="33"/>
                    <w:rPr>
                      <w:color w:val="auto"/>
                    </w:rPr>
                  </w:pPr>
                </w:p>
              </w:tc>
              <w:tc>
                <w:tcPr>
                  <w:tcW w:w="1140" w:type="dxa"/>
                  <w:vMerge w:val="continue"/>
                  <w:tcBorders>
                    <w:tl2br w:val="nil"/>
                    <w:tr2bl w:val="nil"/>
                  </w:tcBorders>
                  <w:vAlign w:val="center"/>
                </w:tcPr>
                <w:p w14:paraId="5971F61B">
                  <w:pPr>
                    <w:pStyle w:val="33"/>
                    <w:rPr>
                      <w:color w:val="auto"/>
                    </w:rPr>
                  </w:pPr>
                </w:p>
              </w:tc>
              <w:tc>
                <w:tcPr>
                  <w:tcW w:w="1485" w:type="dxa"/>
                  <w:tcBorders>
                    <w:tl2br w:val="nil"/>
                    <w:tr2bl w:val="nil"/>
                  </w:tcBorders>
                  <w:vAlign w:val="center"/>
                </w:tcPr>
                <w:p w14:paraId="03FB4E71">
                  <w:pPr>
                    <w:pStyle w:val="33"/>
                    <w:rPr>
                      <w:color w:val="auto"/>
                    </w:rPr>
                  </w:pPr>
                  <w:r>
                    <w:rPr>
                      <w:rFonts w:hint="eastAsia"/>
                      <w:color w:val="auto"/>
                    </w:rPr>
                    <w:t>天然气燃烧废气</w:t>
                  </w:r>
                </w:p>
              </w:tc>
              <w:tc>
                <w:tcPr>
                  <w:tcW w:w="3825" w:type="dxa"/>
                  <w:tcBorders>
                    <w:tl2br w:val="nil"/>
                    <w:tr2bl w:val="nil"/>
                  </w:tcBorders>
                  <w:vAlign w:val="center"/>
                </w:tcPr>
                <w:p w14:paraId="5AFCF65A">
                  <w:pPr>
                    <w:pStyle w:val="33"/>
                    <w:rPr>
                      <w:color w:val="auto"/>
                    </w:rPr>
                  </w:pPr>
                  <w:r>
                    <w:rPr>
                      <w:color w:val="auto"/>
                    </w:rPr>
                    <w:t>天然气燃烧废气与油烟废气一并收集，处理后的油烟废气及天然气燃烧废气通过1根18m高排气筒DA001排放，设计风量25000m</w:t>
                  </w:r>
                  <w:r>
                    <w:rPr>
                      <w:rFonts w:hint="eastAsia"/>
                      <w:color w:val="auto"/>
                      <w:vertAlign w:val="superscript"/>
                      <w:lang w:val="en-US" w:eastAsia="zh-CN"/>
                    </w:rPr>
                    <w:t>3</w:t>
                  </w:r>
                  <w:r>
                    <w:rPr>
                      <w:color w:val="auto"/>
                    </w:rPr>
                    <w:t>/h</w:t>
                  </w:r>
                </w:p>
              </w:tc>
              <w:tc>
                <w:tcPr>
                  <w:tcW w:w="931" w:type="dxa"/>
                  <w:vMerge w:val="continue"/>
                  <w:tcBorders>
                    <w:tl2br w:val="nil"/>
                    <w:tr2bl w:val="nil"/>
                  </w:tcBorders>
                  <w:vAlign w:val="center"/>
                </w:tcPr>
                <w:p w14:paraId="3583C877">
                  <w:pPr>
                    <w:pStyle w:val="33"/>
                    <w:rPr>
                      <w:color w:val="auto"/>
                    </w:rPr>
                  </w:pPr>
                </w:p>
              </w:tc>
            </w:tr>
            <w:tr w14:paraId="04845B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1" w:type="dxa"/>
                  <w:tcBorders>
                    <w:tl2br w:val="nil"/>
                    <w:tr2bl w:val="nil"/>
                  </w:tcBorders>
                  <w:vAlign w:val="center"/>
                </w:tcPr>
                <w:p w14:paraId="0AE7785C">
                  <w:pPr>
                    <w:pStyle w:val="33"/>
                    <w:rPr>
                      <w:color w:val="auto"/>
                    </w:rPr>
                  </w:pPr>
                  <w:r>
                    <w:rPr>
                      <w:rFonts w:hint="eastAsia"/>
                      <w:color w:val="auto"/>
                    </w:rPr>
                    <w:t>3</w:t>
                  </w:r>
                </w:p>
              </w:tc>
              <w:tc>
                <w:tcPr>
                  <w:tcW w:w="1140" w:type="dxa"/>
                  <w:tcBorders>
                    <w:tl2br w:val="nil"/>
                    <w:tr2bl w:val="nil"/>
                  </w:tcBorders>
                  <w:vAlign w:val="center"/>
                </w:tcPr>
                <w:p w14:paraId="6D012036">
                  <w:pPr>
                    <w:pStyle w:val="33"/>
                    <w:rPr>
                      <w:color w:val="auto"/>
                    </w:rPr>
                  </w:pPr>
                  <w:r>
                    <w:rPr>
                      <w:rFonts w:hint="eastAsia"/>
                      <w:color w:val="auto"/>
                    </w:rPr>
                    <w:t>噪声治理</w:t>
                  </w:r>
                </w:p>
              </w:tc>
              <w:tc>
                <w:tcPr>
                  <w:tcW w:w="1485" w:type="dxa"/>
                  <w:tcBorders>
                    <w:tl2br w:val="nil"/>
                    <w:tr2bl w:val="nil"/>
                  </w:tcBorders>
                  <w:vAlign w:val="center"/>
                </w:tcPr>
                <w:p w14:paraId="5F3D99B2">
                  <w:pPr>
                    <w:pStyle w:val="33"/>
                    <w:rPr>
                      <w:color w:val="auto"/>
                    </w:rPr>
                  </w:pPr>
                  <w:r>
                    <w:rPr>
                      <w:rFonts w:hint="eastAsia"/>
                      <w:color w:val="auto"/>
                    </w:rPr>
                    <w:t>生产设备、辅助设备噪声</w:t>
                  </w:r>
                </w:p>
              </w:tc>
              <w:tc>
                <w:tcPr>
                  <w:tcW w:w="3825" w:type="dxa"/>
                  <w:tcBorders>
                    <w:tl2br w:val="nil"/>
                    <w:tr2bl w:val="nil"/>
                  </w:tcBorders>
                  <w:vAlign w:val="center"/>
                </w:tcPr>
                <w:p w14:paraId="593E3906">
                  <w:pPr>
                    <w:pStyle w:val="33"/>
                    <w:rPr>
                      <w:color w:val="auto"/>
                    </w:rPr>
                  </w:pPr>
                  <w:r>
                    <w:rPr>
                      <w:color w:val="auto"/>
                    </w:rPr>
                    <w:t>选用低噪声设备，采取基础减振、厂房隔声及加强设备维护等措施</w:t>
                  </w:r>
                </w:p>
              </w:tc>
              <w:tc>
                <w:tcPr>
                  <w:tcW w:w="931" w:type="dxa"/>
                  <w:tcBorders>
                    <w:tl2br w:val="nil"/>
                    <w:tr2bl w:val="nil"/>
                  </w:tcBorders>
                  <w:vAlign w:val="center"/>
                </w:tcPr>
                <w:p w14:paraId="431E8295">
                  <w:pPr>
                    <w:pStyle w:val="33"/>
                    <w:rPr>
                      <w:color w:val="auto"/>
                    </w:rPr>
                  </w:pPr>
                  <w:r>
                    <w:rPr>
                      <w:rFonts w:hint="eastAsia"/>
                      <w:color w:val="auto"/>
                    </w:rPr>
                    <w:t>3</w:t>
                  </w:r>
                </w:p>
              </w:tc>
            </w:tr>
            <w:tr w14:paraId="232474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31" w:type="dxa"/>
                  <w:tcBorders>
                    <w:tl2br w:val="nil"/>
                    <w:tr2bl w:val="nil"/>
                  </w:tcBorders>
                  <w:vAlign w:val="center"/>
                </w:tcPr>
                <w:p w14:paraId="64A6FD02">
                  <w:pPr>
                    <w:pStyle w:val="33"/>
                    <w:rPr>
                      <w:color w:val="auto"/>
                    </w:rPr>
                  </w:pPr>
                  <w:r>
                    <w:rPr>
                      <w:rFonts w:hint="eastAsia"/>
                      <w:color w:val="auto"/>
                    </w:rPr>
                    <w:t>4</w:t>
                  </w:r>
                </w:p>
              </w:tc>
              <w:tc>
                <w:tcPr>
                  <w:tcW w:w="1140" w:type="dxa"/>
                  <w:tcBorders>
                    <w:tl2br w:val="nil"/>
                    <w:tr2bl w:val="nil"/>
                  </w:tcBorders>
                  <w:vAlign w:val="center"/>
                </w:tcPr>
                <w:p w14:paraId="75452165">
                  <w:pPr>
                    <w:pStyle w:val="33"/>
                    <w:rPr>
                      <w:color w:val="auto"/>
                    </w:rPr>
                  </w:pPr>
                  <w:r>
                    <w:rPr>
                      <w:rFonts w:hint="eastAsia"/>
                      <w:color w:val="auto"/>
                    </w:rPr>
                    <w:t>固体废弃物处置</w:t>
                  </w:r>
                </w:p>
              </w:tc>
              <w:tc>
                <w:tcPr>
                  <w:tcW w:w="1485" w:type="dxa"/>
                  <w:tcBorders>
                    <w:tl2br w:val="nil"/>
                    <w:tr2bl w:val="nil"/>
                  </w:tcBorders>
                  <w:vAlign w:val="center"/>
                </w:tcPr>
                <w:p w14:paraId="781F2091">
                  <w:pPr>
                    <w:pStyle w:val="33"/>
                    <w:rPr>
                      <w:color w:val="auto"/>
                    </w:rPr>
                  </w:pPr>
                  <w:r>
                    <w:rPr>
                      <w:rFonts w:hint="eastAsia"/>
                      <w:color w:val="auto"/>
                    </w:rPr>
                    <w:t>一般工业固体废物、危险废物</w:t>
                  </w:r>
                </w:p>
              </w:tc>
              <w:tc>
                <w:tcPr>
                  <w:tcW w:w="3825" w:type="dxa"/>
                  <w:tcBorders>
                    <w:tl2br w:val="nil"/>
                    <w:tr2bl w:val="nil"/>
                  </w:tcBorders>
                  <w:vAlign w:val="center"/>
                </w:tcPr>
                <w:p w14:paraId="5D3144B3">
                  <w:pPr>
                    <w:pStyle w:val="33"/>
                    <w:rPr>
                      <w:color w:val="auto"/>
                    </w:rPr>
                  </w:pPr>
                  <w:r>
                    <w:rPr>
                      <w:color w:val="auto"/>
                    </w:rPr>
                    <w:t>设置一般固废暂存区；设置危废</w:t>
                  </w:r>
                  <w:r>
                    <w:rPr>
                      <w:rFonts w:hint="eastAsia"/>
                      <w:color w:val="auto"/>
                      <w:lang w:val="en-US" w:eastAsia="zh-CN"/>
                    </w:rPr>
                    <w:t>暂存点</w:t>
                  </w:r>
                  <w:r>
                    <w:rPr>
                      <w:color w:val="auto"/>
                    </w:rPr>
                    <w:t>，采取防渗、分区、标识、密闭容器及防渗托盘等措施；各类固体废物分类收集、规范处置</w:t>
                  </w:r>
                </w:p>
              </w:tc>
              <w:tc>
                <w:tcPr>
                  <w:tcW w:w="931" w:type="dxa"/>
                  <w:tcBorders>
                    <w:tl2br w:val="nil"/>
                    <w:tr2bl w:val="nil"/>
                  </w:tcBorders>
                  <w:vAlign w:val="center"/>
                </w:tcPr>
                <w:p w14:paraId="462561C4">
                  <w:pPr>
                    <w:pStyle w:val="33"/>
                    <w:rPr>
                      <w:color w:val="auto"/>
                    </w:rPr>
                  </w:pPr>
                  <w:r>
                    <w:rPr>
                      <w:rFonts w:hint="eastAsia"/>
                      <w:color w:val="auto"/>
                    </w:rPr>
                    <w:t>2</w:t>
                  </w:r>
                </w:p>
              </w:tc>
            </w:tr>
            <w:tr w14:paraId="25A1BC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31" w:type="dxa"/>
                  <w:tcBorders>
                    <w:tl2br w:val="nil"/>
                    <w:tr2bl w:val="nil"/>
                  </w:tcBorders>
                  <w:vAlign w:val="center"/>
                </w:tcPr>
                <w:p w14:paraId="48A077DE">
                  <w:pPr>
                    <w:pStyle w:val="33"/>
                    <w:rPr>
                      <w:color w:val="auto"/>
                    </w:rPr>
                  </w:pPr>
                  <w:r>
                    <w:rPr>
                      <w:rFonts w:hint="eastAsia"/>
                      <w:color w:val="auto"/>
                    </w:rPr>
                    <w:t>5</w:t>
                  </w:r>
                </w:p>
              </w:tc>
              <w:tc>
                <w:tcPr>
                  <w:tcW w:w="1140" w:type="dxa"/>
                  <w:tcBorders>
                    <w:tl2br w:val="nil"/>
                    <w:tr2bl w:val="nil"/>
                  </w:tcBorders>
                  <w:vAlign w:val="center"/>
                </w:tcPr>
                <w:p w14:paraId="4F23525E">
                  <w:pPr>
                    <w:pStyle w:val="33"/>
                    <w:rPr>
                      <w:color w:val="auto"/>
                    </w:rPr>
                  </w:pPr>
                  <w:r>
                    <w:rPr>
                      <w:rFonts w:hint="eastAsia"/>
                      <w:color w:val="auto"/>
                    </w:rPr>
                    <w:t>风险防范措施</w:t>
                  </w:r>
                </w:p>
              </w:tc>
              <w:tc>
                <w:tcPr>
                  <w:tcW w:w="1485" w:type="dxa"/>
                  <w:tcBorders>
                    <w:tl2br w:val="nil"/>
                    <w:tr2bl w:val="nil"/>
                  </w:tcBorders>
                  <w:vAlign w:val="center"/>
                </w:tcPr>
                <w:p w14:paraId="191BCE5F">
                  <w:pPr>
                    <w:pStyle w:val="33"/>
                    <w:rPr>
                      <w:color w:val="auto"/>
                    </w:rPr>
                  </w:pPr>
                  <w:r>
                    <w:rPr>
                      <w:rFonts w:hint="eastAsia"/>
                      <w:color w:val="auto"/>
                    </w:rPr>
                    <w:t>天然气泄漏、废水事故排放、危险废物泄漏及火灾</w:t>
                  </w:r>
                </w:p>
              </w:tc>
              <w:tc>
                <w:tcPr>
                  <w:tcW w:w="3825" w:type="dxa"/>
                  <w:tcBorders>
                    <w:tl2br w:val="nil"/>
                    <w:tr2bl w:val="nil"/>
                  </w:tcBorders>
                  <w:vAlign w:val="center"/>
                </w:tcPr>
                <w:p w14:paraId="5AC8CD67">
                  <w:pPr>
                    <w:pStyle w:val="33"/>
                    <w:rPr>
                      <w:color w:val="auto"/>
                    </w:rPr>
                  </w:pPr>
                  <w:r>
                    <w:rPr>
                      <w:color w:val="auto"/>
                    </w:rPr>
                    <w:t>设置可燃气体报警及紧急切断设施，配备临时收集容器、防渗托盘、吸油毡、沙袋和灭火器等应急物资</w:t>
                  </w:r>
                </w:p>
              </w:tc>
              <w:tc>
                <w:tcPr>
                  <w:tcW w:w="931" w:type="dxa"/>
                  <w:tcBorders>
                    <w:tl2br w:val="nil"/>
                    <w:tr2bl w:val="nil"/>
                  </w:tcBorders>
                  <w:vAlign w:val="center"/>
                </w:tcPr>
                <w:p w14:paraId="647CDFC7">
                  <w:pPr>
                    <w:pStyle w:val="33"/>
                    <w:rPr>
                      <w:color w:val="auto"/>
                    </w:rPr>
                  </w:pPr>
                  <w:r>
                    <w:rPr>
                      <w:rFonts w:hint="eastAsia"/>
                      <w:color w:val="auto"/>
                    </w:rPr>
                    <w:t>2.5</w:t>
                  </w:r>
                </w:p>
              </w:tc>
            </w:tr>
            <w:tr w14:paraId="513E9E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31" w:type="dxa"/>
                  <w:tcBorders>
                    <w:tl2br w:val="nil"/>
                    <w:tr2bl w:val="nil"/>
                  </w:tcBorders>
                  <w:vAlign w:val="center"/>
                </w:tcPr>
                <w:p w14:paraId="48D0C59D">
                  <w:pPr>
                    <w:pStyle w:val="33"/>
                    <w:rPr>
                      <w:color w:val="auto"/>
                    </w:rPr>
                  </w:pPr>
                  <w:r>
                    <w:rPr>
                      <w:rFonts w:hint="eastAsia"/>
                      <w:color w:val="auto"/>
                    </w:rPr>
                    <w:t>6</w:t>
                  </w:r>
                </w:p>
              </w:tc>
              <w:tc>
                <w:tcPr>
                  <w:tcW w:w="1140" w:type="dxa"/>
                  <w:tcBorders>
                    <w:tl2br w:val="nil"/>
                    <w:tr2bl w:val="nil"/>
                  </w:tcBorders>
                  <w:vAlign w:val="center"/>
                </w:tcPr>
                <w:p w14:paraId="0C3A06C8">
                  <w:pPr>
                    <w:pStyle w:val="33"/>
                    <w:rPr>
                      <w:color w:val="auto"/>
                    </w:rPr>
                  </w:pPr>
                  <w:r>
                    <w:rPr>
                      <w:rFonts w:hint="eastAsia"/>
                      <w:color w:val="auto"/>
                    </w:rPr>
                    <w:t>环境管理</w:t>
                  </w:r>
                </w:p>
              </w:tc>
              <w:tc>
                <w:tcPr>
                  <w:tcW w:w="1485" w:type="dxa"/>
                  <w:tcBorders>
                    <w:tl2br w:val="nil"/>
                    <w:tr2bl w:val="nil"/>
                  </w:tcBorders>
                  <w:vAlign w:val="center"/>
                </w:tcPr>
                <w:p w14:paraId="2922EBF7">
                  <w:pPr>
                    <w:pStyle w:val="33"/>
                    <w:rPr>
                      <w:color w:val="auto"/>
                    </w:rPr>
                  </w:pPr>
                  <w:r>
                    <w:rPr>
                      <w:rFonts w:hint="eastAsia"/>
                      <w:color w:val="auto"/>
                    </w:rPr>
                    <w:t>环境管理及监测</w:t>
                  </w:r>
                </w:p>
              </w:tc>
              <w:tc>
                <w:tcPr>
                  <w:tcW w:w="3825" w:type="dxa"/>
                  <w:tcBorders>
                    <w:tl2br w:val="nil"/>
                    <w:tr2bl w:val="nil"/>
                  </w:tcBorders>
                  <w:vAlign w:val="center"/>
                </w:tcPr>
                <w:p w14:paraId="3BC33D3F">
                  <w:pPr>
                    <w:pStyle w:val="33"/>
                    <w:rPr>
                      <w:color w:val="auto"/>
                    </w:rPr>
                  </w:pPr>
                  <w:r>
                    <w:rPr>
                      <w:color w:val="auto"/>
                    </w:rPr>
                    <w:t>排污口规范化、环保设施运行维护、台账管理及废气、废水、噪声自行监测</w:t>
                  </w:r>
                </w:p>
              </w:tc>
              <w:tc>
                <w:tcPr>
                  <w:tcW w:w="931" w:type="dxa"/>
                  <w:tcBorders>
                    <w:tl2br w:val="nil"/>
                    <w:tr2bl w:val="nil"/>
                  </w:tcBorders>
                  <w:vAlign w:val="center"/>
                </w:tcPr>
                <w:p w14:paraId="4C115D8C">
                  <w:pPr>
                    <w:pStyle w:val="33"/>
                    <w:rPr>
                      <w:color w:val="auto"/>
                    </w:rPr>
                  </w:pPr>
                  <w:r>
                    <w:rPr>
                      <w:rFonts w:hint="eastAsia"/>
                      <w:color w:val="auto"/>
                    </w:rPr>
                    <w:t>3</w:t>
                  </w:r>
                </w:p>
              </w:tc>
            </w:tr>
            <w:tr w14:paraId="4F3247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71" w:type="dxa"/>
                  <w:gridSpan w:val="2"/>
                  <w:tcBorders>
                    <w:tl2br w:val="nil"/>
                    <w:tr2bl w:val="nil"/>
                  </w:tcBorders>
                  <w:vAlign w:val="center"/>
                </w:tcPr>
                <w:p w14:paraId="6A544C46">
                  <w:pPr>
                    <w:pStyle w:val="33"/>
                    <w:rPr>
                      <w:color w:val="auto"/>
                    </w:rPr>
                  </w:pPr>
                  <w:r>
                    <w:rPr>
                      <w:rFonts w:hint="eastAsia"/>
                      <w:color w:val="auto"/>
                    </w:rPr>
                    <w:t>合计</w:t>
                  </w:r>
                </w:p>
              </w:tc>
              <w:tc>
                <w:tcPr>
                  <w:tcW w:w="1485" w:type="dxa"/>
                  <w:tcBorders>
                    <w:tl2br w:val="nil"/>
                    <w:tr2bl w:val="nil"/>
                  </w:tcBorders>
                  <w:vAlign w:val="center"/>
                </w:tcPr>
                <w:p w14:paraId="3EFF1237">
                  <w:pPr>
                    <w:pStyle w:val="33"/>
                    <w:rPr>
                      <w:color w:val="auto"/>
                    </w:rPr>
                  </w:pPr>
                  <w:r>
                    <w:rPr>
                      <w:rFonts w:hint="eastAsia"/>
                      <w:color w:val="auto"/>
                    </w:rPr>
                    <w:t>/</w:t>
                  </w:r>
                </w:p>
              </w:tc>
              <w:tc>
                <w:tcPr>
                  <w:tcW w:w="3825" w:type="dxa"/>
                  <w:tcBorders>
                    <w:tl2br w:val="nil"/>
                    <w:tr2bl w:val="nil"/>
                  </w:tcBorders>
                  <w:vAlign w:val="center"/>
                </w:tcPr>
                <w:p w14:paraId="5A6A9A53">
                  <w:pPr>
                    <w:pStyle w:val="33"/>
                    <w:rPr>
                      <w:color w:val="auto"/>
                    </w:rPr>
                  </w:pPr>
                </w:p>
              </w:tc>
              <w:tc>
                <w:tcPr>
                  <w:tcW w:w="931" w:type="dxa"/>
                  <w:tcBorders>
                    <w:tl2br w:val="nil"/>
                    <w:tr2bl w:val="nil"/>
                  </w:tcBorders>
                  <w:vAlign w:val="center"/>
                </w:tcPr>
                <w:p w14:paraId="46AF53E5">
                  <w:pPr>
                    <w:pStyle w:val="33"/>
                    <w:rPr>
                      <w:color w:val="auto"/>
                    </w:rPr>
                  </w:pPr>
                  <w:r>
                    <w:rPr>
                      <w:rFonts w:hint="eastAsia"/>
                      <w:color w:val="auto"/>
                      <w:lang w:val="en-US" w:eastAsia="zh-CN"/>
                    </w:rPr>
                    <w:t>3</w:t>
                  </w:r>
                  <w:r>
                    <w:rPr>
                      <w:rFonts w:hint="eastAsia"/>
                      <w:color w:val="auto"/>
                    </w:rPr>
                    <w:t>8.5</w:t>
                  </w:r>
                </w:p>
              </w:tc>
            </w:tr>
          </w:tbl>
          <w:p w14:paraId="56F5206D">
            <w:pPr>
              <w:ind w:firstLine="480"/>
              <w:rPr>
                <w:color w:val="auto"/>
              </w:rPr>
            </w:pPr>
          </w:p>
        </w:tc>
      </w:tr>
    </w:tbl>
    <w:p w14:paraId="67B3D9C6">
      <w:pPr>
        <w:adjustRightInd w:val="0"/>
        <w:snapToGrid w:val="0"/>
        <w:ind w:firstLine="562"/>
        <w:rPr>
          <w:rFonts w:ascii="宋体" w:cs="宋体"/>
          <w:b/>
          <w:color w:val="auto"/>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79B6664E">
      <w:pPr>
        <w:pStyle w:val="13"/>
        <w:spacing w:beforeAutospacing="0" w:afterAutospacing="0"/>
        <w:outlineLvl w:val="0"/>
        <w:rPr>
          <w:rFonts w:hint="eastAsia" w:ascii="黑体" w:hAnsi="黑体" w:eastAsia="黑体"/>
          <w:snapToGrid w:val="0"/>
          <w:color w:val="auto"/>
          <w:sz w:val="30"/>
          <w:szCs w:val="30"/>
        </w:rPr>
      </w:pPr>
      <w:bookmarkStart w:id="6" w:name="_Toc4771"/>
      <w:r>
        <w:rPr>
          <w:rFonts w:hint="eastAsia" w:ascii="黑体" w:hAnsi="黑体" w:eastAsia="黑体"/>
          <w:snapToGrid w:val="0"/>
          <w:color w:val="auto"/>
          <w:sz w:val="30"/>
          <w:szCs w:val="30"/>
        </w:rPr>
        <w:t>五、</w:t>
      </w:r>
      <w:bookmarkStart w:id="7" w:name="_Hlk54167917"/>
      <w:r>
        <w:rPr>
          <w:rFonts w:hint="eastAsia" w:ascii="黑体" w:hAnsi="黑体" w:eastAsia="黑体"/>
          <w:snapToGrid w:val="0"/>
          <w:color w:val="auto"/>
          <w:sz w:val="30"/>
          <w:szCs w:val="30"/>
        </w:rPr>
        <w:t>环境保护措施监督检查清单</w:t>
      </w:r>
      <w:bookmarkEnd w:id="6"/>
      <w:bookmarkEnd w:id="7"/>
    </w:p>
    <w:tbl>
      <w:tblPr>
        <w:tblStyle w:val="16"/>
        <w:tblW w:w="8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27"/>
        <w:gridCol w:w="1454"/>
        <w:gridCol w:w="1083"/>
        <w:gridCol w:w="2616"/>
        <w:gridCol w:w="2220"/>
      </w:tblGrid>
      <w:tr w14:paraId="396F11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27" w:type="dxa"/>
            <w:tcBorders>
              <w:tl2br w:val="single" w:color="auto" w:sz="4" w:space="0"/>
            </w:tcBorders>
          </w:tcPr>
          <w:p w14:paraId="657FB552">
            <w:pPr>
              <w:adjustRightInd w:val="0"/>
              <w:snapToGrid w:val="0"/>
              <w:ind w:firstLine="960" w:firstLineChars="400"/>
              <w:rPr>
                <w:rFonts w:hint="eastAsia" w:ascii="宋体" w:hAnsi="宋体" w:cs="宋体"/>
                <w:color w:val="auto"/>
                <w:szCs w:val="21"/>
              </w:rPr>
            </w:pPr>
            <w:r>
              <w:rPr>
                <w:rFonts w:hint="eastAsia" w:ascii="宋体" w:hAnsi="宋体" w:cs="宋体"/>
                <w:color w:val="auto"/>
                <w:szCs w:val="21"/>
              </w:rPr>
              <w:t>内容</w:t>
            </w:r>
          </w:p>
          <w:p w14:paraId="6F5BF5B6">
            <w:pPr>
              <w:adjustRightInd w:val="0"/>
              <w:snapToGrid w:val="0"/>
              <w:ind w:firstLine="0" w:firstLineChars="0"/>
              <w:rPr>
                <w:rFonts w:hint="eastAsia" w:ascii="宋体" w:hAnsi="宋体" w:cs="宋体"/>
                <w:color w:val="auto"/>
                <w:szCs w:val="21"/>
              </w:rPr>
            </w:pPr>
            <w:r>
              <w:rPr>
                <w:rFonts w:hint="eastAsia" w:ascii="宋体" w:hAnsi="宋体" w:cs="宋体"/>
                <w:color w:val="auto"/>
                <w:szCs w:val="21"/>
              </w:rPr>
              <w:t>要素</w:t>
            </w:r>
          </w:p>
        </w:tc>
        <w:tc>
          <w:tcPr>
            <w:tcW w:w="1454" w:type="dxa"/>
            <w:vAlign w:val="center"/>
          </w:tcPr>
          <w:p w14:paraId="35EE28AD">
            <w:pPr>
              <w:adjustRightInd w:val="0"/>
              <w:snapToGrid w:val="0"/>
              <w:ind w:firstLine="0" w:firstLineChars="0"/>
              <w:jc w:val="center"/>
              <w:rPr>
                <w:rFonts w:hint="eastAsia" w:ascii="宋体" w:hAnsi="宋体" w:cs="宋体"/>
                <w:color w:val="auto"/>
                <w:szCs w:val="21"/>
              </w:rPr>
            </w:pPr>
            <w:r>
              <w:rPr>
                <w:rFonts w:hint="eastAsia" w:ascii="宋体" w:hAnsi="宋体" w:cs="宋体"/>
                <w:color w:val="auto"/>
                <w:szCs w:val="21"/>
              </w:rPr>
              <w:t>排放口(编号、名称)/污染源</w:t>
            </w:r>
          </w:p>
        </w:tc>
        <w:tc>
          <w:tcPr>
            <w:tcW w:w="1083" w:type="dxa"/>
            <w:vAlign w:val="center"/>
          </w:tcPr>
          <w:p w14:paraId="0C9B3B82">
            <w:pPr>
              <w:adjustRightInd w:val="0"/>
              <w:snapToGrid w:val="0"/>
              <w:ind w:firstLine="0" w:firstLineChars="0"/>
              <w:jc w:val="center"/>
              <w:rPr>
                <w:rFonts w:hint="eastAsia" w:ascii="宋体" w:hAnsi="宋体" w:cs="宋体"/>
                <w:color w:val="auto"/>
                <w:szCs w:val="21"/>
              </w:rPr>
            </w:pPr>
            <w:r>
              <w:rPr>
                <w:rFonts w:hint="eastAsia" w:ascii="宋体" w:hAnsi="宋体" w:cs="宋体"/>
                <w:color w:val="auto"/>
                <w:szCs w:val="21"/>
              </w:rPr>
              <w:t>污染物项目</w:t>
            </w:r>
          </w:p>
        </w:tc>
        <w:tc>
          <w:tcPr>
            <w:tcW w:w="2616" w:type="dxa"/>
            <w:vAlign w:val="center"/>
          </w:tcPr>
          <w:p w14:paraId="3A46A8B8">
            <w:pPr>
              <w:adjustRightInd w:val="0"/>
              <w:snapToGrid w:val="0"/>
              <w:ind w:firstLine="0" w:firstLineChars="0"/>
              <w:jc w:val="center"/>
              <w:rPr>
                <w:rFonts w:hint="eastAsia" w:ascii="宋体" w:hAnsi="宋体" w:cs="宋体"/>
                <w:color w:val="auto"/>
                <w:szCs w:val="21"/>
              </w:rPr>
            </w:pPr>
            <w:r>
              <w:rPr>
                <w:rFonts w:hint="eastAsia" w:ascii="宋体" w:hAnsi="宋体" w:cs="宋体"/>
                <w:color w:val="auto"/>
                <w:szCs w:val="21"/>
              </w:rPr>
              <w:t>环境保护措施</w:t>
            </w:r>
          </w:p>
        </w:tc>
        <w:tc>
          <w:tcPr>
            <w:tcW w:w="2220" w:type="dxa"/>
            <w:vAlign w:val="center"/>
          </w:tcPr>
          <w:p w14:paraId="43C3610D">
            <w:pPr>
              <w:adjustRightInd w:val="0"/>
              <w:snapToGrid w:val="0"/>
              <w:ind w:firstLine="0" w:firstLineChars="0"/>
              <w:jc w:val="center"/>
              <w:rPr>
                <w:rFonts w:hint="eastAsia" w:ascii="宋体" w:hAnsi="宋体" w:cs="宋体"/>
                <w:color w:val="auto"/>
                <w:szCs w:val="21"/>
              </w:rPr>
            </w:pPr>
            <w:r>
              <w:rPr>
                <w:rFonts w:hint="eastAsia" w:ascii="宋体" w:hAnsi="宋体" w:cs="宋体"/>
                <w:color w:val="auto"/>
                <w:szCs w:val="21"/>
              </w:rPr>
              <w:t>执行标准</w:t>
            </w:r>
          </w:p>
        </w:tc>
      </w:tr>
      <w:tr w14:paraId="4D0867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27" w:type="dxa"/>
            <w:vMerge w:val="restart"/>
            <w:vAlign w:val="center"/>
          </w:tcPr>
          <w:p w14:paraId="74F0FDEB">
            <w:pPr>
              <w:adjustRightInd w:val="0"/>
              <w:snapToGrid w:val="0"/>
              <w:spacing w:line="240" w:lineRule="auto"/>
              <w:ind w:firstLine="0" w:firstLineChars="0"/>
              <w:jc w:val="center"/>
              <w:rPr>
                <w:rFonts w:hint="eastAsia" w:ascii="宋体" w:hAnsi="宋体" w:cs="宋体"/>
                <w:color w:val="auto"/>
                <w:szCs w:val="21"/>
              </w:rPr>
            </w:pPr>
            <w:r>
              <w:rPr>
                <w:rFonts w:hint="eastAsia" w:ascii="宋体" w:hAnsi="宋体" w:cs="宋体"/>
                <w:color w:val="auto"/>
                <w:szCs w:val="21"/>
              </w:rPr>
              <w:t>大气环境</w:t>
            </w:r>
          </w:p>
        </w:tc>
        <w:tc>
          <w:tcPr>
            <w:tcW w:w="1454" w:type="dxa"/>
            <w:vAlign w:val="center"/>
          </w:tcPr>
          <w:p w14:paraId="5C4A25E4">
            <w:pPr>
              <w:adjustRightInd w:val="0"/>
              <w:snapToGrid w:val="0"/>
              <w:spacing w:line="240" w:lineRule="auto"/>
              <w:ind w:firstLine="0" w:firstLineChars="0"/>
              <w:jc w:val="center"/>
              <w:rPr>
                <w:color w:val="auto"/>
                <w:szCs w:val="21"/>
              </w:rPr>
            </w:pPr>
            <w:r>
              <w:rPr>
                <w:rFonts w:hint="eastAsia"/>
                <w:color w:val="auto"/>
                <w:szCs w:val="21"/>
              </w:rPr>
              <w:t>DA001</w:t>
            </w:r>
          </w:p>
        </w:tc>
        <w:tc>
          <w:tcPr>
            <w:tcW w:w="1083" w:type="dxa"/>
            <w:vAlign w:val="center"/>
          </w:tcPr>
          <w:p w14:paraId="239C900B">
            <w:pPr>
              <w:adjustRightInd w:val="0"/>
              <w:snapToGrid w:val="0"/>
              <w:spacing w:line="240" w:lineRule="auto"/>
              <w:ind w:firstLine="0" w:firstLineChars="0"/>
              <w:jc w:val="center"/>
              <w:rPr>
                <w:color w:val="auto"/>
                <w:szCs w:val="21"/>
              </w:rPr>
            </w:pPr>
            <w:r>
              <w:rPr>
                <w:color w:val="auto"/>
                <w:szCs w:val="21"/>
              </w:rPr>
              <w:t>油烟、</w:t>
            </w:r>
            <w:r>
              <w:rPr>
                <w:color w:val="auto"/>
                <w:szCs w:val="21"/>
              </w:rPr>
              <w:t>臭气浓度</w:t>
            </w:r>
            <w:r>
              <w:rPr>
                <w:color w:val="auto"/>
                <w:szCs w:val="21"/>
              </w:rPr>
              <w:t>、颗粒物、SO</w:t>
            </w:r>
            <w:r>
              <w:rPr>
                <w:rFonts w:hint="eastAsia"/>
                <w:color w:val="auto"/>
                <w:szCs w:val="21"/>
                <w:vertAlign w:val="subscript"/>
                <w:lang w:val="en-US" w:eastAsia="zh-CN"/>
              </w:rPr>
              <w:t>2</w:t>
            </w:r>
            <w:r>
              <w:rPr>
                <w:color w:val="auto"/>
                <w:szCs w:val="21"/>
              </w:rPr>
              <w:t>、NOx</w:t>
            </w:r>
          </w:p>
        </w:tc>
        <w:tc>
          <w:tcPr>
            <w:tcW w:w="2616" w:type="dxa"/>
            <w:vAlign w:val="center"/>
          </w:tcPr>
          <w:p w14:paraId="484EC545">
            <w:pPr>
              <w:adjustRightInd w:val="0"/>
              <w:snapToGrid w:val="0"/>
              <w:spacing w:line="240" w:lineRule="auto"/>
              <w:ind w:firstLine="0" w:firstLineChars="0"/>
              <w:jc w:val="center"/>
              <w:rPr>
                <w:color w:val="auto"/>
                <w:szCs w:val="21"/>
              </w:rPr>
            </w:pPr>
            <w:r>
              <w:rPr>
                <w:color w:val="auto"/>
                <w:szCs w:val="21"/>
              </w:rPr>
              <w:t>熟制、炒制工序设置半封闭上吸式集气罩，废气收集效率按90%计；油烟废气经油烟净化设施处理，净化效率按95%计；天</w:t>
            </w:r>
            <w:r>
              <w:rPr>
                <w:color w:val="auto"/>
                <w:szCs w:val="21"/>
              </w:rPr>
              <w:t>然气燃烧废气与油烟废气一并收集，处理后的油烟废气及天然气燃烧废气通过1根18m高排气筒DA001排放，设计风量25000m</w:t>
            </w:r>
            <w:r>
              <w:rPr>
                <w:rFonts w:hint="eastAsia"/>
                <w:color w:val="auto"/>
                <w:szCs w:val="21"/>
                <w:vertAlign w:val="superscript"/>
                <w:lang w:val="en-US" w:eastAsia="zh-CN"/>
              </w:rPr>
              <w:t>3</w:t>
            </w:r>
            <w:r>
              <w:rPr>
                <w:color w:val="auto"/>
                <w:szCs w:val="21"/>
              </w:rPr>
              <w:t>/h。定期检查集气罩、油烟净化设施、风机及排气管道，确保设施正常运行</w:t>
            </w:r>
          </w:p>
        </w:tc>
        <w:tc>
          <w:tcPr>
            <w:tcW w:w="2220" w:type="dxa"/>
            <w:vAlign w:val="center"/>
          </w:tcPr>
          <w:p w14:paraId="10F2C8A7">
            <w:pPr>
              <w:adjustRightInd w:val="0"/>
              <w:snapToGrid w:val="0"/>
              <w:spacing w:line="240" w:lineRule="auto"/>
              <w:ind w:firstLine="0" w:firstLineChars="0"/>
              <w:jc w:val="center"/>
              <w:rPr>
                <w:color w:val="auto"/>
                <w:szCs w:val="21"/>
              </w:rPr>
            </w:pPr>
            <w:r>
              <w:rPr>
                <w:color w:val="auto"/>
                <w:szCs w:val="21"/>
              </w:rPr>
              <w:t>油烟执行《饮食业油烟排放标准（试行）》（GB 18483—2001）中型规模要求；颗粒物、SO₂、NOx执行《大气污染物综合排放标准》（GB 16297—1996）表2新污染源二级标准；臭气浓度执行《恶臭污染物排放标准》（GB 14554—93）表2标准</w:t>
            </w:r>
          </w:p>
        </w:tc>
      </w:tr>
      <w:tr w14:paraId="273378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27" w:type="dxa"/>
            <w:vMerge w:val="continue"/>
            <w:vAlign w:val="center"/>
          </w:tcPr>
          <w:p w14:paraId="56704E30">
            <w:pPr>
              <w:adjustRightInd w:val="0"/>
              <w:snapToGrid w:val="0"/>
              <w:spacing w:line="240" w:lineRule="auto"/>
              <w:ind w:firstLine="0" w:firstLineChars="0"/>
              <w:jc w:val="center"/>
              <w:rPr>
                <w:rFonts w:hint="eastAsia" w:ascii="宋体" w:hAnsi="宋体" w:cs="宋体"/>
                <w:color w:val="auto"/>
                <w:szCs w:val="21"/>
              </w:rPr>
            </w:pPr>
          </w:p>
        </w:tc>
        <w:tc>
          <w:tcPr>
            <w:tcW w:w="1454" w:type="dxa"/>
            <w:vAlign w:val="center"/>
          </w:tcPr>
          <w:p w14:paraId="2D747762">
            <w:pPr>
              <w:adjustRightInd w:val="0"/>
              <w:snapToGrid w:val="0"/>
              <w:spacing w:line="240" w:lineRule="auto"/>
              <w:ind w:firstLine="0" w:firstLineChars="0"/>
              <w:jc w:val="center"/>
              <w:rPr>
                <w:color w:val="auto"/>
                <w:szCs w:val="21"/>
              </w:rPr>
            </w:pPr>
            <w:r>
              <w:rPr>
                <w:rFonts w:hint="eastAsia"/>
                <w:color w:val="auto"/>
                <w:szCs w:val="21"/>
              </w:rPr>
              <w:t>无组织</w:t>
            </w:r>
          </w:p>
        </w:tc>
        <w:tc>
          <w:tcPr>
            <w:tcW w:w="1083" w:type="dxa"/>
            <w:vAlign w:val="center"/>
          </w:tcPr>
          <w:p w14:paraId="6814AC50">
            <w:pPr>
              <w:adjustRightInd w:val="0"/>
              <w:snapToGrid w:val="0"/>
              <w:spacing w:line="240" w:lineRule="auto"/>
              <w:ind w:firstLine="0" w:firstLineChars="0"/>
              <w:jc w:val="center"/>
              <w:rPr>
                <w:color w:val="auto"/>
                <w:szCs w:val="21"/>
              </w:rPr>
            </w:pPr>
            <w:r>
              <w:rPr>
                <w:color w:val="auto"/>
                <w:szCs w:val="21"/>
              </w:rPr>
              <w:t>颗粒物、SO</w:t>
            </w:r>
            <w:r>
              <w:rPr>
                <w:rFonts w:hint="eastAsia"/>
                <w:color w:val="auto"/>
                <w:szCs w:val="21"/>
                <w:vertAlign w:val="subscript"/>
                <w:lang w:val="en-US" w:eastAsia="zh-CN"/>
              </w:rPr>
              <w:t>2</w:t>
            </w:r>
            <w:r>
              <w:rPr>
                <w:color w:val="auto"/>
                <w:szCs w:val="21"/>
              </w:rPr>
              <w:t>、NOx、臭气浓度</w:t>
            </w:r>
          </w:p>
        </w:tc>
        <w:tc>
          <w:tcPr>
            <w:tcW w:w="2616" w:type="dxa"/>
            <w:vAlign w:val="center"/>
          </w:tcPr>
          <w:p w14:paraId="7C235E5D">
            <w:pPr>
              <w:adjustRightInd w:val="0"/>
              <w:snapToGrid w:val="0"/>
              <w:spacing w:line="240" w:lineRule="auto"/>
              <w:ind w:firstLine="0" w:firstLineChars="0"/>
              <w:jc w:val="center"/>
              <w:rPr>
                <w:color w:val="auto"/>
                <w:szCs w:val="21"/>
              </w:rPr>
            </w:pPr>
            <w:r>
              <w:rPr>
                <w:color w:val="auto"/>
                <w:szCs w:val="21"/>
              </w:rPr>
              <w:t>粉碎、投料、调配混合及制粒等工序设备运行时保持密闭，规范投料操作，及时清扫散落物料并加强车间通风；加强集气罩及废气收集设施运行管理，减少油烟、异味及天然气燃烧废气无组织逸散。</w:t>
            </w:r>
          </w:p>
        </w:tc>
        <w:tc>
          <w:tcPr>
            <w:tcW w:w="2220" w:type="dxa"/>
            <w:vAlign w:val="center"/>
          </w:tcPr>
          <w:p w14:paraId="73E805CD">
            <w:pPr>
              <w:adjustRightInd w:val="0"/>
              <w:snapToGrid w:val="0"/>
              <w:spacing w:line="240" w:lineRule="auto"/>
              <w:ind w:firstLine="0" w:firstLineChars="0"/>
              <w:jc w:val="center"/>
              <w:rPr>
                <w:color w:val="auto"/>
                <w:szCs w:val="21"/>
              </w:rPr>
            </w:pPr>
            <w:r>
              <w:rPr>
                <w:color w:val="auto"/>
                <w:szCs w:val="21"/>
              </w:rPr>
              <w:t>颗粒物、SO</w:t>
            </w:r>
            <w:r>
              <w:rPr>
                <w:rFonts w:hint="eastAsia"/>
                <w:color w:val="auto"/>
                <w:szCs w:val="21"/>
                <w:vertAlign w:val="subscript"/>
                <w:lang w:val="en-US" w:eastAsia="zh-CN"/>
              </w:rPr>
              <w:t>2</w:t>
            </w:r>
            <w:r>
              <w:rPr>
                <w:color w:val="auto"/>
                <w:szCs w:val="21"/>
              </w:rPr>
              <w:t>、NOx执行《大气污染物综合排放标准》（GB 16297—1996）表2无组织排放监控浓度限值；臭气浓度执行《恶臭污染物排放标准》（GB 14554—93）表1二级新扩改建标准</w:t>
            </w:r>
          </w:p>
        </w:tc>
      </w:tr>
      <w:tr w14:paraId="732289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27" w:type="dxa"/>
            <w:vMerge w:val="restart"/>
            <w:vAlign w:val="center"/>
          </w:tcPr>
          <w:p w14:paraId="7CA62114">
            <w:pPr>
              <w:adjustRightInd w:val="0"/>
              <w:snapToGrid w:val="0"/>
              <w:spacing w:line="240" w:lineRule="auto"/>
              <w:ind w:firstLine="0" w:firstLineChars="0"/>
              <w:jc w:val="center"/>
              <w:rPr>
                <w:rFonts w:hint="eastAsia" w:ascii="宋体" w:hAnsi="宋体" w:cs="宋体"/>
                <w:color w:val="auto"/>
                <w:szCs w:val="21"/>
              </w:rPr>
            </w:pPr>
            <w:r>
              <w:rPr>
                <w:rFonts w:hint="eastAsia" w:ascii="宋体" w:hAnsi="宋体" w:cs="宋体"/>
                <w:color w:val="auto"/>
                <w:szCs w:val="21"/>
              </w:rPr>
              <w:t>地表水环境</w:t>
            </w:r>
          </w:p>
        </w:tc>
        <w:tc>
          <w:tcPr>
            <w:tcW w:w="1454" w:type="dxa"/>
            <w:vAlign w:val="center"/>
          </w:tcPr>
          <w:p w14:paraId="0C4FEF82">
            <w:pPr>
              <w:adjustRightInd w:val="0"/>
              <w:snapToGrid w:val="0"/>
              <w:spacing w:line="240" w:lineRule="auto"/>
              <w:ind w:firstLine="0" w:firstLineChars="0"/>
              <w:jc w:val="center"/>
              <w:rPr>
                <w:color w:val="auto"/>
                <w:szCs w:val="21"/>
              </w:rPr>
            </w:pPr>
            <w:r>
              <w:rPr>
                <w:color w:val="auto"/>
                <w:szCs w:val="21"/>
              </w:rPr>
              <w:t>生活污水</w:t>
            </w:r>
          </w:p>
        </w:tc>
        <w:tc>
          <w:tcPr>
            <w:tcW w:w="1083" w:type="dxa"/>
            <w:vAlign w:val="center"/>
          </w:tcPr>
          <w:p w14:paraId="71A40FC9">
            <w:pPr>
              <w:adjustRightInd w:val="0"/>
              <w:snapToGrid w:val="0"/>
              <w:spacing w:line="240" w:lineRule="auto"/>
              <w:ind w:firstLine="0" w:firstLineChars="0"/>
              <w:jc w:val="center"/>
              <w:rPr>
                <w:color w:val="auto"/>
                <w:szCs w:val="21"/>
              </w:rPr>
            </w:pPr>
            <w:r>
              <w:rPr>
                <w:color w:val="auto"/>
                <w:szCs w:val="21"/>
              </w:rPr>
              <w:t>COD、BOD</w:t>
            </w:r>
            <w:r>
              <w:rPr>
                <w:color w:val="auto"/>
                <w:szCs w:val="21"/>
                <w:vertAlign w:val="subscript"/>
              </w:rPr>
              <w:t>5</w:t>
            </w:r>
            <w:r>
              <w:rPr>
                <w:color w:val="auto"/>
                <w:szCs w:val="21"/>
              </w:rPr>
              <w:t>、SS、NH</w:t>
            </w:r>
            <w:r>
              <w:rPr>
                <w:color w:val="auto"/>
                <w:szCs w:val="21"/>
                <w:vertAlign w:val="subscript"/>
              </w:rPr>
              <w:t>3</w:t>
            </w:r>
            <w:r>
              <w:rPr>
                <w:color w:val="auto"/>
                <w:szCs w:val="21"/>
              </w:rPr>
              <w:t>-N</w:t>
            </w:r>
          </w:p>
        </w:tc>
        <w:tc>
          <w:tcPr>
            <w:tcW w:w="2616" w:type="dxa"/>
            <w:vAlign w:val="center"/>
          </w:tcPr>
          <w:p w14:paraId="3DFE8FC0">
            <w:pPr>
              <w:adjustRightInd w:val="0"/>
              <w:snapToGrid w:val="0"/>
              <w:spacing w:line="240" w:lineRule="auto"/>
              <w:ind w:firstLine="0" w:firstLineChars="0"/>
              <w:jc w:val="center"/>
              <w:rPr>
                <w:color w:val="auto"/>
                <w:szCs w:val="21"/>
              </w:rPr>
            </w:pPr>
            <w:r>
              <w:rPr>
                <w:color w:val="auto"/>
                <w:szCs w:val="21"/>
              </w:rPr>
              <w:t>生活污水经三级化粪池预处理后排入园区污水管网，进入柳江区新兴工业园污水处理厂进一步处理。</w:t>
            </w:r>
          </w:p>
        </w:tc>
        <w:tc>
          <w:tcPr>
            <w:tcW w:w="2220" w:type="dxa"/>
            <w:vAlign w:val="center"/>
          </w:tcPr>
          <w:p w14:paraId="69DD8ACB">
            <w:pPr>
              <w:adjustRightInd w:val="0"/>
              <w:snapToGrid w:val="0"/>
              <w:spacing w:line="240" w:lineRule="auto"/>
              <w:ind w:firstLine="0" w:firstLineChars="0"/>
              <w:jc w:val="center"/>
              <w:rPr>
                <w:color w:val="auto"/>
                <w:szCs w:val="21"/>
              </w:rPr>
            </w:pPr>
            <w:r>
              <w:rPr>
                <w:color w:val="auto"/>
                <w:szCs w:val="21"/>
              </w:rPr>
              <w:t>《污水综合排放标准》（GB8978-1996）三级标准</w:t>
            </w:r>
          </w:p>
        </w:tc>
      </w:tr>
      <w:tr w14:paraId="6C1C64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27" w:type="dxa"/>
            <w:vMerge w:val="continue"/>
            <w:vAlign w:val="center"/>
          </w:tcPr>
          <w:p w14:paraId="0F141BCF">
            <w:pPr>
              <w:adjustRightInd w:val="0"/>
              <w:snapToGrid w:val="0"/>
              <w:spacing w:line="240" w:lineRule="auto"/>
              <w:ind w:firstLine="0" w:firstLineChars="0"/>
              <w:jc w:val="center"/>
              <w:rPr>
                <w:rFonts w:hint="eastAsia" w:ascii="宋体" w:hAnsi="宋体" w:cs="宋体"/>
                <w:color w:val="auto"/>
                <w:szCs w:val="21"/>
              </w:rPr>
            </w:pPr>
          </w:p>
        </w:tc>
        <w:tc>
          <w:tcPr>
            <w:tcW w:w="1454" w:type="dxa"/>
            <w:vAlign w:val="center"/>
          </w:tcPr>
          <w:p w14:paraId="117B7B8A">
            <w:pPr>
              <w:adjustRightInd w:val="0"/>
              <w:snapToGrid w:val="0"/>
              <w:spacing w:line="240" w:lineRule="auto"/>
              <w:ind w:firstLine="0" w:firstLineChars="0"/>
              <w:jc w:val="center"/>
              <w:rPr>
                <w:color w:val="auto"/>
                <w:szCs w:val="21"/>
              </w:rPr>
            </w:pPr>
            <w:r>
              <w:rPr>
                <w:color w:val="auto"/>
                <w:szCs w:val="21"/>
              </w:rPr>
              <w:t>生产废水</w:t>
            </w:r>
          </w:p>
        </w:tc>
        <w:tc>
          <w:tcPr>
            <w:tcW w:w="1083" w:type="dxa"/>
            <w:vAlign w:val="center"/>
          </w:tcPr>
          <w:p w14:paraId="493F1E78">
            <w:pPr>
              <w:adjustRightInd w:val="0"/>
              <w:snapToGrid w:val="0"/>
              <w:spacing w:line="240" w:lineRule="auto"/>
              <w:ind w:firstLine="0" w:firstLineChars="0"/>
              <w:jc w:val="center"/>
              <w:rPr>
                <w:rFonts w:hint="eastAsia" w:eastAsia="宋体"/>
                <w:color w:val="auto"/>
                <w:szCs w:val="21"/>
                <w:lang w:eastAsia="zh-CN"/>
              </w:rPr>
            </w:pPr>
            <w:r>
              <w:rPr>
                <w:color w:val="auto"/>
                <w:szCs w:val="21"/>
              </w:rPr>
              <w:t>COD、BOD</w:t>
            </w:r>
            <w:r>
              <w:rPr>
                <w:color w:val="auto"/>
                <w:szCs w:val="21"/>
                <w:vertAlign w:val="subscript"/>
              </w:rPr>
              <w:t>5</w:t>
            </w:r>
            <w:r>
              <w:rPr>
                <w:color w:val="auto"/>
                <w:szCs w:val="21"/>
              </w:rPr>
              <w:t>、SS、NH</w:t>
            </w:r>
            <w:r>
              <w:rPr>
                <w:color w:val="auto"/>
                <w:szCs w:val="21"/>
                <w:vertAlign w:val="subscript"/>
              </w:rPr>
              <w:t>3</w:t>
            </w:r>
            <w:r>
              <w:rPr>
                <w:color w:val="auto"/>
                <w:szCs w:val="21"/>
              </w:rPr>
              <w:t>-N、TN、TP、</w:t>
            </w:r>
            <w:r>
              <w:rPr>
                <w:rFonts w:hint="eastAsia"/>
                <w:color w:val="auto"/>
                <w:szCs w:val="21"/>
                <w:lang w:val="en-US" w:eastAsia="zh-CN"/>
              </w:rPr>
              <w:t>动植物油</w:t>
            </w:r>
          </w:p>
        </w:tc>
        <w:tc>
          <w:tcPr>
            <w:tcW w:w="2616" w:type="dxa"/>
            <w:vAlign w:val="center"/>
          </w:tcPr>
          <w:p w14:paraId="1580CA6C">
            <w:pPr>
              <w:adjustRightInd w:val="0"/>
              <w:snapToGrid w:val="0"/>
              <w:spacing w:line="240" w:lineRule="auto"/>
              <w:ind w:firstLine="0" w:firstLineChars="0"/>
              <w:jc w:val="center"/>
              <w:rPr>
                <w:color w:val="auto"/>
                <w:szCs w:val="21"/>
              </w:rPr>
            </w:pPr>
            <w:r>
              <w:rPr>
                <w:color w:val="auto"/>
                <w:szCs w:val="21"/>
              </w:rPr>
              <w:t>原料清洗废水、设备及容器清洗废水和车间地面清洗废水分类收集，经“隔油沉淀池+A/O一体化污水处理设备”处理，达到接管要求后排入园区污水管网；定期检查废水收集管道及处理设施，并及时清理隔油浮渣和污泥</w:t>
            </w:r>
          </w:p>
        </w:tc>
        <w:tc>
          <w:tcPr>
            <w:tcW w:w="2220" w:type="dxa"/>
            <w:vAlign w:val="center"/>
          </w:tcPr>
          <w:p w14:paraId="08E24922">
            <w:pPr>
              <w:adjustRightInd w:val="0"/>
              <w:snapToGrid w:val="0"/>
              <w:spacing w:line="240" w:lineRule="auto"/>
              <w:ind w:firstLine="0" w:firstLineChars="0"/>
              <w:jc w:val="center"/>
              <w:rPr>
                <w:color w:val="auto"/>
                <w:szCs w:val="21"/>
              </w:rPr>
            </w:pPr>
            <w:r>
              <w:rPr>
                <w:color w:val="auto"/>
                <w:szCs w:val="21"/>
              </w:rPr>
              <w:t>《污水综合排放标准》（GB8978-1996）三级标准</w:t>
            </w:r>
          </w:p>
        </w:tc>
      </w:tr>
      <w:tr w14:paraId="3553B4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27" w:type="dxa"/>
            <w:vAlign w:val="center"/>
          </w:tcPr>
          <w:p w14:paraId="183B4553">
            <w:pPr>
              <w:adjustRightInd w:val="0"/>
              <w:snapToGrid w:val="0"/>
              <w:spacing w:line="240" w:lineRule="auto"/>
              <w:ind w:firstLine="0" w:firstLineChars="0"/>
              <w:jc w:val="center"/>
              <w:rPr>
                <w:rFonts w:hint="eastAsia" w:ascii="宋体" w:hAnsi="宋体" w:cs="宋体"/>
                <w:color w:val="auto"/>
                <w:sz w:val="24"/>
                <w:szCs w:val="24"/>
              </w:rPr>
            </w:pPr>
            <w:r>
              <w:rPr>
                <w:rFonts w:hint="eastAsia" w:ascii="宋体" w:hAnsi="宋体" w:cs="宋体"/>
                <w:color w:val="auto"/>
                <w:sz w:val="24"/>
                <w:szCs w:val="24"/>
              </w:rPr>
              <w:t>声环境</w:t>
            </w:r>
          </w:p>
        </w:tc>
        <w:tc>
          <w:tcPr>
            <w:tcW w:w="1454" w:type="dxa"/>
            <w:vAlign w:val="center"/>
          </w:tcPr>
          <w:p w14:paraId="34DF3F1E">
            <w:pPr>
              <w:adjustRightInd w:val="0"/>
              <w:snapToGrid w:val="0"/>
              <w:spacing w:line="240" w:lineRule="auto"/>
              <w:ind w:firstLine="0" w:firstLineChars="0"/>
              <w:jc w:val="center"/>
              <w:rPr>
                <w:color w:val="auto"/>
                <w:sz w:val="24"/>
                <w:szCs w:val="24"/>
              </w:rPr>
            </w:pPr>
            <w:r>
              <w:rPr>
                <w:color w:val="auto"/>
                <w:sz w:val="24"/>
                <w:szCs w:val="24"/>
              </w:rPr>
              <w:t>洗姜机、斩拌机、粉碎机、混合机、制粒机、烘干机、包装机、灌装机、风机、泵等</w:t>
            </w:r>
          </w:p>
        </w:tc>
        <w:tc>
          <w:tcPr>
            <w:tcW w:w="1083" w:type="dxa"/>
            <w:vAlign w:val="center"/>
          </w:tcPr>
          <w:p w14:paraId="7385440D">
            <w:pPr>
              <w:adjustRightInd w:val="0"/>
              <w:snapToGrid w:val="0"/>
              <w:spacing w:line="240" w:lineRule="auto"/>
              <w:ind w:firstLine="0" w:firstLineChars="0"/>
              <w:jc w:val="center"/>
              <w:rPr>
                <w:color w:val="auto"/>
                <w:sz w:val="24"/>
                <w:szCs w:val="24"/>
              </w:rPr>
            </w:pPr>
            <w:r>
              <w:rPr>
                <w:color w:val="auto"/>
                <w:sz w:val="24"/>
                <w:szCs w:val="24"/>
              </w:rPr>
              <w:t>等效连续A声级Leq(A)</w:t>
            </w:r>
          </w:p>
        </w:tc>
        <w:tc>
          <w:tcPr>
            <w:tcW w:w="2616" w:type="dxa"/>
            <w:vAlign w:val="center"/>
          </w:tcPr>
          <w:p w14:paraId="5A90A4FA">
            <w:pPr>
              <w:adjustRightInd w:val="0"/>
              <w:snapToGrid w:val="0"/>
              <w:spacing w:line="240" w:lineRule="auto"/>
              <w:ind w:firstLine="0" w:firstLineChars="0"/>
              <w:jc w:val="center"/>
              <w:rPr>
                <w:color w:val="auto"/>
                <w:sz w:val="24"/>
                <w:szCs w:val="24"/>
              </w:rPr>
            </w:pPr>
            <w:r>
              <w:rPr>
                <w:color w:val="auto"/>
                <w:sz w:val="24"/>
                <w:szCs w:val="24"/>
              </w:rPr>
              <w:t>优先选用低噪声设备，设备设置减振基础或减振垫，风机、泵等采用柔性连接并采取必要的消声措施；利用厂房墙体隔声，合理布置高噪声设备，加强设备维护保养。</w:t>
            </w:r>
          </w:p>
        </w:tc>
        <w:tc>
          <w:tcPr>
            <w:tcW w:w="2220" w:type="dxa"/>
            <w:vAlign w:val="center"/>
          </w:tcPr>
          <w:p w14:paraId="7A15E734">
            <w:pPr>
              <w:adjustRightInd w:val="0"/>
              <w:snapToGrid w:val="0"/>
              <w:spacing w:line="240" w:lineRule="auto"/>
              <w:ind w:firstLine="0" w:firstLineChars="0"/>
              <w:jc w:val="center"/>
              <w:rPr>
                <w:color w:val="auto"/>
                <w:sz w:val="24"/>
                <w:szCs w:val="24"/>
              </w:rPr>
            </w:pPr>
            <w:r>
              <w:rPr>
                <w:color w:val="auto"/>
                <w:sz w:val="24"/>
                <w:szCs w:val="24"/>
              </w:rPr>
              <w:t>《工业企业厂界环境噪声排放标准》（GB12348-2008）3类标准</w:t>
            </w:r>
          </w:p>
        </w:tc>
      </w:tr>
      <w:tr w14:paraId="7CE10D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27" w:type="dxa"/>
            <w:vAlign w:val="center"/>
          </w:tcPr>
          <w:p w14:paraId="6746EAD9">
            <w:pPr>
              <w:adjustRightInd w:val="0"/>
              <w:snapToGrid w:val="0"/>
              <w:spacing w:line="240" w:lineRule="auto"/>
              <w:ind w:firstLine="0" w:firstLineChars="0"/>
              <w:jc w:val="center"/>
              <w:rPr>
                <w:rFonts w:hint="eastAsia" w:ascii="宋体" w:hAnsi="宋体" w:cs="宋体"/>
                <w:color w:val="auto"/>
                <w:sz w:val="24"/>
                <w:szCs w:val="24"/>
              </w:rPr>
            </w:pPr>
            <w:r>
              <w:rPr>
                <w:rFonts w:hint="eastAsia" w:ascii="宋体" w:hAnsi="宋体" w:cs="宋体"/>
                <w:color w:val="auto"/>
                <w:sz w:val="24"/>
                <w:szCs w:val="24"/>
              </w:rPr>
              <w:t>电磁辐射</w:t>
            </w:r>
          </w:p>
        </w:tc>
        <w:tc>
          <w:tcPr>
            <w:tcW w:w="1454" w:type="dxa"/>
            <w:vAlign w:val="center"/>
          </w:tcPr>
          <w:p w14:paraId="26AC61CC">
            <w:pPr>
              <w:adjustRightInd w:val="0"/>
              <w:snapToGrid w:val="0"/>
              <w:spacing w:line="240" w:lineRule="auto"/>
              <w:ind w:firstLine="0" w:firstLineChars="0"/>
              <w:jc w:val="center"/>
              <w:rPr>
                <w:rFonts w:hint="eastAsia" w:ascii="宋体" w:hAnsi="宋体" w:cs="宋体"/>
                <w:color w:val="auto"/>
                <w:sz w:val="24"/>
                <w:szCs w:val="24"/>
              </w:rPr>
            </w:pPr>
            <w:r>
              <w:rPr>
                <w:rFonts w:hint="eastAsia" w:ascii="宋体" w:hAnsi="宋体" w:cs="宋体"/>
                <w:color w:val="auto"/>
                <w:sz w:val="24"/>
                <w:szCs w:val="24"/>
              </w:rPr>
              <w:t>/</w:t>
            </w:r>
          </w:p>
        </w:tc>
        <w:tc>
          <w:tcPr>
            <w:tcW w:w="1083" w:type="dxa"/>
            <w:vAlign w:val="center"/>
          </w:tcPr>
          <w:p w14:paraId="3E309637">
            <w:pPr>
              <w:adjustRightInd w:val="0"/>
              <w:snapToGrid w:val="0"/>
              <w:spacing w:line="240" w:lineRule="auto"/>
              <w:ind w:firstLine="0" w:firstLineChars="0"/>
              <w:jc w:val="center"/>
              <w:rPr>
                <w:rFonts w:hint="eastAsia" w:ascii="宋体" w:hAnsi="宋体" w:cs="宋体"/>
                <w:color w:val="auto"/>
                <w:sz w:val="24"/>
                <w:szCs w:val="24"/>
              </w:rPr>
            </w:pPr>
            <w:r>
              <w:rPr>
                <w:rFonts w:hint="eastAsia" w:ascii="宋体" w:hAnsi="宋体" w:cs="宋体"/>
                <w:color w:val="auto"/>
                <w:sz w:val="24"/>
                <w:szCs w:val="24"/>
              </w:rPr>
              <w:t>/</w:t>
            </w:r>
          </w:p>
        </w:tc>
        <w:tc>
          <w:tcPr>
            <w:tcW w:w="2616" w:type="dxa"/>
            <w:vAlign w:val="center"/>
          </w:tcPr>
          <w:p w14:paraId="68FFA447">
            <w:pPr>
              <w:adjustRightInd w:val="0"/>
              <w:snapToGrid w:val="0"/>
              <w:spacing w:line="240" w:lineRule="auto"/>
              <w:ind w:firstLine="0" w:firstLineChars="0"/>
              <w:jc w:val="center"/>
              <w:rPr>
                <w:rFonts w:hint="eastAsia" w:ascii="宋体" w:hAnsi="宋体" w:cs="宋体"/>
                <w:color w:val="auto"/>
                <w:sz w:val="24"/>
                <w:szCs w:val="24"/>
              </w:rPr>
            </w:pPr>
            <w:r>
              <w:rPr>
                <w:rFonts w:hint="eastAsia" w:ascii="宋体" w:hAnsi="宋体" w:cs="宋体"/>
                <w:color w:val="auto"/>
                <w:sz w:val="24"/>
                <w:szCs w:val="24"/>
              </w:rPr>
              <w:t>/</w:t>
            </w:r>
          </w:p>
        </w:tc>
        <w:tc>
          <w:tcPr>
            <w:tcW w:w="2220" w:type="dxa"/>
            <w:vAlign w:val="center"/>
          </w:tcPr>
          <w:p w14:paraId="324E3201">
            <w:pPr>
              <w:adjustRightInd w:val="0"/>
              <w:snapToGrid w:val="0"/>
              <w:spacing w:line="240" w:lineRule="auto"/>
              <w:ind w:firstLine="0" w:firstLineChars="0"/>
              <w:jc w:val="center"/>
              <w:rPr>
                <w:rFonts w:hint="eastAsia" w:ascii="宋体" w:hAnsi="宋体" w:cs="宋体"/>
                <w:color w:val="auto"/>
                <w:sz w:val="24"/>
                <w:szCs w:val="24"/>
              </w:rPr>
            </w:pPr>
            <w:r>
              <w:rPr>
                <w:rFonts w:hint="eastAsia" w:ascii="宋体" w:hAnsi="宋体" w:cs="宋体"/>
                <w:color w:val="auto"/>
                <w:sz w:val="24"/>
                <w:szCs w:val="24"/>
              </w:rPr>
              <w:t>/</w:t>
            </w:r>
          </w:p>
        </w:tc>
      </w:tr>
      <w:tr w14:paraId="079ACF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427" w:type="dxa"/>
            <w:vMerge w:val="restart"/>
            <w:vAlign w:val="center"/>
          </w:tcPr>
          <w:p w14:paraId="60D5AFD5">
            <w:pPr>
              <w:adjustRightInd w:val="0"/>
              <w:snapToGrid w:val="0"/>
              <w:spacing w:line="240" w:lineRule="auto"/>
              <w:ind w:firstLine="0" w:firstLineChars="0"/>
              <w:jc w:val="center"/>
              <w:rPr>
                <w:rFonts w:hint="eastAsia" w:ascii="宋体" w:hAnsi="宋体" w:cs="宋体"/>
                <w:color w:val="auto"/>
                <w:sz w:val="24"/>
                <w:szCs w:val="24"/>
              </w:rPr>
            </w:pPr>
            <w:r>
              <w:rPr>
                <w:rFonts w:hint="eastAsia" w:ascii="宋体" w:hAnsi="宋体" w:cs="宋体"/>
                <w:color w:val="auto"/>
                <w:sz w:val="24"/>
                <w:szCs w:val="24"/>
              </w:rPr>
              <w:t>固体废物</w:t>
            </w:r>
          </w:p>
        </w:tc>
        <w:tc>
          <w:tcPr>
            <w:tcW w:w="1454" w:type="dxa"/>
            <w:vAlign w:val="center"/>
          </w:tcPr>
          <w:p w14:paraId="00C77B70">
            <w:pPr>
              <w:pStyle w:val="33"/>
              <w:rPr>
                <w:color w:val="auto"/>
                <w:sz w:val="24"/>
                <w:szCs w:val="24"/>
              </w:rPr>
            </w:pPr>
            <w:r>
              <w:rPr>
                <w:rFonts w:hint="eastAsia"/>
                <w:color w:val="auto"/>
                <w:sz w:val="24"/>
                <w:szCs w:val="24"/>
              </w:rPr>
              <w:t>原料验收、清洗及预处理</w:t>
            </w:r>
          </w:p>
        </w:tc>
        <w:tc>
          <w:tcPr>
            <w:tcW w:w="1083" w:type="dxa"/>
            <w:vAlign w:val="center"/>
          </w:tcPr>
          <w:p w14:paraId="7FD7313B">
            <w:pPr>
              <w:pStyle w:val="33"/>
              <w:rPr>
                <w:color w:val="auto"/>
                <w:sz w:val="24"/>
                <w:szCs w:val="24"/>
              </w:rPr>
            </w:pPr>
            <w:r>
              <w:rPr>
                <w:rFonts w:hint="eastAsia"/>
                <w:color w:val="auto"/>
                <w:sz w:val="24"/>
                <w:szCs w:val="24"/>
              </w:rPr>
              <w:t>原料清洗及挑选废料</w:t>
            </w:r>
          </w:p>
        </w:tc>
        <w:tc>
          <w:tcPr>
            <w:tcW w:w="2616" w:type="dxa"/>
            <w:vAlign w:val="center"/>
          </w:tcPr>
          <w:p w14:paraId="7D889174">
            <w:pPr>
              <w:pStyle w:val="33"/>
              <w:rPr>
                <w:color w:val="auto"/>
                <w:sz w:val="24"/>
                <w:szCs w:val="24"/>
              </w:rPr>
            </w:pPr>
            <w:r>
              <w:rPr>
                <w:color w:val="auto"/>
                <w:sz w:val="24"/>
                <w:szCs w:val="24"/>
              </w:rPr>
              <w:t>分类收集后暂存于一般固废暂存区，定期交环卫部门或一般固废处置单位处理</w:t>
            </w:r>
          </w:p>
        </w:tc>
        <w:tc>
          <w:tcPr>
            <w:tcW w:w="2220" w:type="dxa"/>
            <w:vMerge w:val="restart"/>
            <w:vAlign w:val="center"/>
          </w:tcPr>
          <w:p w14:paraId="25398DA4">
            <w:pPr>
              <w:pStyle w:val="33"/>
              <w:rPr>
                <w:rFonts w:hint="eastAsia" w:eastAsia="宋体"/>
                <w:color w:val="auto"/>
                <w:sz w:val="24"/>
                <w:szCs w:val="24"/>
                <w:lang w:val="en-US" w:eastAsia="zh-CN"/>
              </w:rPr>
            </w:pPr>
            <w:r>
              <w:rPr>
                <w:rFonts w:hint="eastAsia"/>
                <w:color w:val="auto"/>
                <w:sz w:val="24"/>
                <w:szCs w:val="24"/>
              </w:rPr>
              <w:t>一般工业固体废物贮存执行GB 18599—2020相关要求</w:t>
            </w:r>
          </w:p>
        </w:tc>
      </w:tr>
      <w:tr w14:paraId="7EA1C0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427" w:type="dxa"/>
            <w:vMerge w:val="continue"/>
            <w:vAlign w:val="center"/>
          </w:tcPr>
          <w:p w14:paraId="592593DF">
            <w:pPr>
              <w:adjustRightInd w:val="0"/>
              <w:snapToGrid w:val="0"/>
              <w:spacing w:line="240" w:lineRule="auto"/>
              <w:ind w:firstLine="0" w:firstLineChars="0"/>
              <w:jc w:val="center"/>
              <w:rPr>
                <w:color w:val="auto"/>
                <w:sz w:val="24"/>
                <w:szCs w:val="24"/>
              </w:rPr>
            </w:pPr>
          </w:p>
        </w:tc>
        <w:tc>
          <w:tcPr>
            <w:tcW w:w="1454" w:type="dxa"/>
            <w:vAlign w:val="center"/>
          </w:tcPr>
          <w:p w14:paraId="11A6C781">
            <w:pPr>
              <w:pStyle w:val="33"/>
              <w:rPr>
                <w:color w:val="auto"/>
                <w:sz w:val="24"/>
                <w:szCs w:val="24"/>
              </w:rPr>
            </w:pPr>
            <w:r>
              <w:rPr>
                <w:rFonts w:hint="eastAsia"/>
                <w:color w:val="auto"/>
                <w:sz w:val="24"/>
                <w:szCs w:val="24"/>
              </w:rPr>
              <w:t>过滤、沉淀</w:t>
            </w:r>
          </w:p>
        </w:tc>
        <w:tc>
          <w:tcPr>
            <w:tcW w:w="1083" w:type="dxa"/>
            <w:vAlign w:val="center"/>
          </w:tcPr>
          <w:p w14:paraId="46404C25">
            <w:pPr>
              <w:pStyle w:val="33"/>
              <w:rPr>
                <w:color w:val="auto"/>
                <w:sz w:val="24"/>
                <w:szCs w:val="24"/>
              </w:rPr>
            </w:pPr>
            <w:r>
              <w:rPr>
                <w:rFonts w:hint="eastAsia"/>
                <w:color w:val="auto"/>
                <w:sz w:val="24"/>
                <w:szCs w:val="24"/>
              </w:rPr>
              <w:t>食品残渣、含油过滤残渣</w:t>
            </w:r>
          </w:p>
        </w:tc>
        <w:tc>
          <w:tcPr>
            <w:tcW w:w="2616" w:type="dxa"/>
            <w:vAlign w:val="center"/>
          </w:tcPr>
          <w:p w14:paraId="2BB60EB2">
            <w:pPr>
              <w:pStyle w:val="33"/>
              <w:rPr>
                <w:color w:val="auto"/>
                <w:sz w:val="24"/>
                <w:szCs w:val="24"/>
              </w:rPr>
            </w:pPr>
            <w:r>
              <w:rPr>
                <w:rFonts w:hint="eastAsia"/>
                <w:color w:val="auto"/>
                <w:sz w:val="24"/>
                <w:szCs w:val="24"/>
              </w:rPr>
              <w:t>采用密闭容器收集，暂存于一般固废暂存区，及时交有处理能力的单位妥善处置</w:t>
            </w:r>
          </w:p>
        </w:tc>
        <w:tc>
          <w:tcPr>
            <w:tcW w:w="2220" w:type="dxa"/>
            <w:vMerge w:val="continue"/>
            <w:vAlign w:val="center"/>
          </w:tcPr>
          <w:p w14:paraId="025E81AF">
            <w:pPr>
              <w:pStyle w:val="33"/>
              <w:rPr>
                <w:color w:val="auto"/>
                <w:sz w:val="24"/>
                <w:szCs w:val="24"/>
              </w:rPr>
            </w:pPr>
          </w:p>
        </w:tc>
      </w:tr>
      <w:tr w14:paraId="227546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427" w:type="dxa"/>
            <w:vMerge w:val="continue"/>
            <w:vAlign w:val="center"/>
          </w:tcPr>
          <w:p w14:paraId="1E6F964E">
            <w:pPr>
              <w:adjustRightInd w:val="0"/>
              <w:snapToGrid w:val="0"/>
              <w:spacing w:line="240" w:lineRule="auto"/>
              <w:ind w:firstLine="0" w:firstLineChars="0"/>
              <w:jc w:val="center"/>
              <w:rPr>
                <w:rFonts w:hint="eastAsia" w:ascii="宋体" w:hAnsi="宋体" w:cs="宋体"/>
                <w:color w:val="auto"/>
                <w:sz w:val="24"/>
                <w:szCs w:val="24"/>
              </w:rPr>
            </w:pPr>
          </w:p>
        </w:tc>
        <w:tc>
          <w:tcPr>
            <w:tcW w:w="1454" w:type="dxa"/>
            <w:vAlign w:val="center"/>
          </w:tcPr>
          <w:p w14:paraId="39E60088">
            <w:pPr>
              <w:pStyle w:val="33"/>
              <w:rPr>
                <w:color w:val="auto"/>
                <w:sz w:val="24"/>
                <w:szCs w:val="24"/>
              </w:rPr>
            </w:pPr>
            <w:r>
              <w:rPr>
                <w:rFonts w:hint="eastAsia"/>
                <w:color w:val="auto"/>
                <w:sz w:val="24"/>
                <w:szCs w:val="24"/>
              </w:rPr>
              <w:t>原辅料拆包及产品包装</w:t>
            </w:r>
          </w:p>
        </w:tc>
        <w:tc>
          <w:tcPr>
            <w:tcW w:w="1083" w:type="dxa"/>
            <w:vAlign w:val="center"/>
          </w:tcPr>
          <w:p w14:paraId="47AF4536">
            <w:pPr>
              <w:pStyle w:val="33"/>
              <w:rPr>
                <w:color w:val="auto"/>
                <w:sz w:val="24"/>
                <w:szCs w:val="24"/>
              </w:rPr>
            </w:pPr>
            <w:r>
              <w:rPr>
                <w:rFonts w:hint="eastAsia"/>
                <w:color w:val="auto"/>
                <w:sz w:val="24"/>
                <w:szCs w:val="24"/>
              </w:rPr>
              <w:t>废包装材料</w:t>
            </w:r>
          </w:p>
        </w:tc>
        <w:tc>
          <w:tcPr>
            <w:tcW w:w="2616" w:type="dxa"/>
            <w:vAlign w:val="center"/>
          </w:tcPr>
          <w:p w14:paraId="29FF005C">
            <w:pPr>
              <w:pStyle w:val="33"/>
              <w:rPr>
                <w:color w:val="auto"/>
                <w:sz w:val="24"/>
                <w:szCs w:val="24"/>
              </w:rPr>
            </w:pPr>
            <w:r>
              <w:rPr>
                <w:color w:val="auto"/>
                <w:sz w:val="24"/>
                <w:szCs w:val="24"/>
              </w:rPr>
              <w:t>分类收集，可回收的废纸、废塑料、废玻璃等外售废品回收单位综合利用，其余妥善处置</w:t>
            </w:r>
          </w:p>
        </w:tc>
        <w:tc>
          <w:tcPr>
            <w:tcW w:w="2220" w:type="dxa"/>
            <w:vMerge w:val="continue"/>
            <w:vAlign w:val="center"/>
          </w:tcPr>
          <w:p w14:paraId="36BD97CC">
            <w:pPr>
              <w:pStyle w:val="33"/>
              <w:rPr>
                <w:color w:val="auto"/>
                <w:sz w:val="24"/>
                <w:szCs w:val="24"/>
              </w:rPr>
            </w:pPr>
          </w:p>
        </w:tc>
      </w:tr>
      <w:tr w14:paraId="5D04C5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427" w:type="dxa"/>
            <w:vMerge w:val="continue"/>
            <w:vAlign w:val="center"/>
          </w:tcPr>
          <w:p w14:paraId="0829EA36">
            <w:pPr>
              <w:adjustRightInd w:val="0"/>
              <w:snapToGrid w:val="0"/>
              <w:spacing w:line="240" w:lineRule="auto"/>
              <w:ind w:firstLine="0" w:firstLineChars="0"/>
              <w:jc w:val="center"/>
              <w:rPr>
                <w:rFonts w:hint="eastAsia" w:ascii="宋体" w:hAnsi="宋体" w:cs="宋体"/>
                <w:color w:val="auto"/>
                <w:sz w:val="24"/>
                <w:szCs w:val="24"/>
              </w:rPr>
            </w:pPr>
          </w:p>
        </w:tc>
        <w:tc>
          <w:tcPr>
            <w:tcW w:w="1454" w:type="dxa"/>
            <w:vAlign w:val="center"/>
          </w:tcPr>
          <w:p w14:paraId="4B0AD4E3">
            <w:pPr>
              <w:pStyle w:val="33"/>
              <w:rPr>
                <w:color w:val="auto"/>
                <w:sz w:val="24"/>
                <w:szCs w:val="24"/>
              </w:rPr>
            </w:pPr>
            <w:r>
              <w:rPr>
                <w:rFonts w:hint="eastAsia"/>
                <w:color w:val="auto"/>
                <w:sz w:val="24"/>
                <w:szCs w:val="24"/>
              </w:rPr>
              <w:t>产品检验</w:t>
            </w:r>
          </w:p>
        </w:tc>
        <w:tc>
          <w:tcPr>
            <w:tcW w:w="1083" w:type="dxa"/>
            <w:vAlign w:val="center"/>
          </w:tcPr>
          <w:p w14:paraId="7995D5F0">
            <w:pPr>
              <w:pStyle w:val="33"/>
              <w:rPr>
                <w:color w:val="auto"/>
                <w:sz w:val="24"/>
                <w:szCs w:val="24"/>
              </w:rPr>
            </w:pPr>
            <w:r>
              <w:rPr>
                <w:rFonts w:hint="eastAsia"/>
                <w:color w:val="auto"/>
                <w:sz w:val="24"/>
                <w:szCs w:val="24"/>
              </w:rPr>
              <w:t>不合格产品</w:t>
            </w:r>
          </w:p>
        </w:tc>
        <w:tc>
          <w:tcPr>
            <w:tcW w:w="2616" w:type="dxa"/>
            <w:vAlign w:val="center"/>
          </w:tcPr>
          <w:p w14:paraId="043D515A">
            <w:pPr>
              <w:pStyle w:val="33"/>
              <w:rPr>
                <w:color w:val="auto"/>
                <w:sz w:val="24"/>
                <w:szCs w:val="24"/>
              </w:rPr>
            </w:pPr>
            <w:r>
              <w:rPr>
                <w:color w:val="auto"/>
                <w:sz w:val="24"/>
                <w:szCs w:val="24"/>
              </w:rPr>
              <w:t>分类收集后暂存于一般固废暂存区，定期妥善处置</w:t>
            </w:r>
          </w:p>
        </w:tc>
        <w:tc>
          <w:tcPr>
            <w:tcW w:w="2220" w:type="dxa"/>
            <w:vMerge w:val="continue"/>
            <w:vAlign w:val="center"/>
          </w:tcPr>
          <w:p w14:paraId="3F66923B">
            <w:pPr>
              <w:pStyle w:val="33"/>
              <w:rPr>
                <w:color w:val="auto"/>
                <w:sz w:val="24"/>
                <w:szCs w:val="24"/>
              </w:rPr>
            </w:pPr>
          </w:p>
        </w:tc>
      </w:tr>
      <w:tr w14:paraId="793171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427" w:type="dxa"/>
            <w:vMerge w:val="continue"/>
            <w:vAlign w:val="center"/>
          </w:tcPr>
          <w:p w14:paraId="1B1B0C63">
            <w:pPr>
              <w:adjustRightInd w:val="0"/>
              <w:snapToGrid w:val="0"/>
              <w:spacing w:line="240" w:lineRule="auto"/>
              <w:ind w:firstLine="0" w:firstLineChars="0"/>
              <w:jc w:val="center"/>
              <w:rPr>
                <w:rFonts w:hint="eastAsia" w:ascii="宋体" w:hAnsi="宋体" w:cs="宋体"/>
                <w:color w:val="auto"/>
                <w:sz w:val="24"/>
                <w:szCs w:val="24"/>
              </w:rPr>
            </w:pPr>
          </w:p>
        </w:tc>
        <w:tc>
          <w:tcPr>
            <w:tcW w:w="1454" w:type="dxa"/>
            <w:vAlign w:val="center"/>
          </w:tcPr>
          <w:p w14:paraId="77B6EFDA">
            <w:pPr>
              <w:pStyle w:val="33"/>
              <w:rPr>
                <w:color w:val="auto"/>
                <w:sz w:val="24"/>
                <w:szCs w:val="24"/>
              </w:rPr>
            </w:pPr>
            <w:r>
              <w:rPr>
                <w:rFonts w:hint="eastAsia"/>
                <w:color w:val="auto"/>
                <w:sz w:val="24"/>
                <w:szCs w:val="24"/>
              </w:rPr>
              <w:t>生产废水预处理</w:t>
            </w:r>
          </w:p>
        </w:tc>
        <w:tc>
          <w:tcPr>
            <w:tcW w:w="1083" w:type="dxa"/>
            <w:vAlign w:val="center"/>
          </w:tcPr>
          <w:p w14:paraId="401C7FBF">
            <w:pPr>
              <w:pStyle w:val="33"/>
              <w:rPr>
                <w:color w:val="auto"/>
                <w:sz w:val="24"/>
                <w:szCs w:val="24"/>
              </w:rPr>
            </w:pPr>
            <w:r>
              <w:rPr>
                <w:rFonts w:hint="eastAsia"/>
                <w:color w:val="auto"/>
                <w:sz w:val="24"/>
                <w:szCs w:val="24"/>
              </w:rPr>
              <w:t>隔油浮渣及沉淀物</w:t>
            </w:r>
          </w:p>
        </w:tc>
        <w:tc>
          <w:tcPr>
            <w:tcW w:w="2616" w:type="dxa"/>
            <w:vAlign w:val="center"/>
          </w:tcPr>
          <w:p w14:paraId="205D9E7A">
            <w:pPr>
              <w:pStyle w:val="33"/>
              <w:rPr>
                <w:color w:val="auto"/>
                <w:sz w:val="24"/>
                <w:szCs w:val="24"/>
              </w:rPr>
            </w:pPr>
            <w:r>
              <w:rPr>
                <w:color w:val="auto"/>
                <w:sz w:val="24"/>
                <w:szCs w:val="24"/>
              </w:rPr>
              <w:t>定期清掏，采用密闭容器收集，交有处理能力的单位妥善处置</w:t>
            </w:r>
          </w:p>
        </w:tc>
        <w:tc>
          <w:tcPr>
            <w:tcW w:w="2220" w:type="dxa"/>
            <w:vMerge w:val="continue"/>
            <w:vAlign w:val="center"/>
          </w:tcPr>
          <w:p w14:paraId="42956ADD">
            <w:pPr>
              <w:pStyle w:val="33"/>
              <w:rPr>
                <w:color w:val="auto"/>
                <w:sz w:val="24"/>
                <w:szCs w:val="24"/>
              </w:rPr>
            </w:pPr>
          </w:p>
        </w:tc>
      </w:tr>
      <w:tr w14:paraId="3BB06A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427" w:type="dxa"/>
            <w:vMerge w:val="continue"/>
            <w:vAlign w:val="center"/>
          </w:tcPr>
          <w:p w14:paraId="41B70B54">
            <w:pPr>
              <w:adjustRightInd w:val="0"/>
              <w:snapToGrid w:val="0"/>
              <w:spacing w:line="240" w:lineRule="auto"/>
              <w:ind w:firstLine="0" w:firstLineChars="0"/>
              <w:jc w:val="center"/>
              <w:rPr>
                <w:rFonts w:hint="eastAsia" w:ascii="宋体" w:hAnsi="宋体" w:cs="宋体"/>
                <w:color w:val="auto"/>
                <w:sz w:val="24"/>
                <w:szCs w:val="24"/>
              </w:rPr>
            </w:pPr>
          </w:p>
        </w:tc>
        <w:tc>
          <w:tcPr>
            <w:tcW w:w="1454" w:type="dxa"/>
            <w:vAlign w:val="center"/>
          </w:tcPr>
          <w:p w14:paraId="3BF645A6">
            <w:pPr>
              <w:pStyle w:val="33"/>
              <w:rPr>
                <w:rFonts w:hint="eastAsia"/>
                <w:color w:val="auto"/>
                <w:sz w:val="24"/>
                <w:szCs w:val="24"/>
              </w:rPr>
            </w:pPr>
            <w:r>
              <w:rPr>
                <w:rFonts w:hint="eastAsia"/>
                <w:color w:val="auto"/>
                <w:sz w:val="24"/>
                <w:szCs w:val="24"/>
              </w:rPr>
              <w:t>生产废水预处理</w:t>
            </w:r>
          </w:p>
        </w:tc>
        <w:tc>
          <w:tcPr>
            <w:tcW w:w="1083" w:type="dxa"/>
            <w:vAlign w:val="center"/>
          </w:tcPr>
          <w:p w14:paraId="714FB4B2">
            <w:pPr>
              <w:pStyle w:val="33"/>
              <w:rPr>
                <w:rFonts w:hint="eastAsia" w:eastAsia="宋体"/>
                <w:color w:val="auto"/>
                <w:sz w:val="24"/>
                <w:szCs w:val="24"/>
                <w:lang w:val="en-US" w:eastAsia="zh-CN"/>
              </w:rPr>
            </w:pPr>
            <w:r>
              <w:rPr>
                <w:rFonts w:hint="eastAsia"/>
                <w:color w:val="auto"/>
                <w:sz w:val="24"/>
                <w:szCs w:val="24"/>
                <w:lang w:val="en-US" w:eastAsia="zh-CN"/>
              </w:rPr>
              <w:t>污泥</w:t>
            </w:r>
          </w:p>
        </w:tc>
        <w:tc>
          <w:tcPr>
            <w:tcW w:w="2616" w:type="dxa"/>
            <w:vAlign w:val="center"/>
          </w:tcPr>
          <w:p w14:paraId="03EC3A38">
            <w:pPr>
              <w:pStyle w:val="33"/>
              <w:rPr>
                <w:color w:val="auto"/>
                <w:sz w:val="24"/>
                <w:szCs w:val="24"/>
              </w:rPr>
            </w:pPr>
            <w:r>
              <w:rPr>
                <w:color w:val="auto"/>
                <w:sz w:val="24"/>
                <w:szCs w:val="24"/>
              </w:rPr>
              <w:t>定期清理、脱水，采用防渗漏密闭容器暂存，交有处理能力的单位妥善处置</w:t>
            </w:r>
          </w:p>
        </w:tc>
        <w:tc>
          <w:tcPr>
            <w:tcW w:w="2220" w:type="dxa"/>
            <w:vMerge w:val="continue"/>
            <w:vAlign w:val="center"/>
          </w:tcPr>
          <w:p w14:paraId="53FC6E59">
            <w:pPr>
              <w:pStyle w:val="33"/>
              <w:rPr>
                <w:rFonts w:hint="eastAsia" w:eastAsia="宋体"/>
                <w:color w:val="auto"/>
                <w:sz w:val="24"/>
                <w:szCs w:val="24"/>
                <w:lang w:val="en-US" w:eastAsia="zh-CN"/>
              </w:rPr>
            </w:pPr>
          </w:p>
        </w:tc>
      </w:tr>
      <w:tr w14:paraId="065BA1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427" w:type="dxa"/>
            <w:vMerge w:val="continue"/>
            <w:vAlign w:val="center"/>
          </w:tcPr>
          <w:p w14:paraId="601DE892">
            <w:pPr>
              <w:adjustRightInd w:val="0"/>
              <w:snapToGrid w:val="0"/>
              <w:spacing w:line="240" w:lineRule="auto"/>
              <w:ind w:firstLine="0" w:firstLineChars="0"/>
              <w:jc w:val="center"/>
              <w:rPr>
                <w:rFonts w:hint="eastAsia" w:ascii="宋体" w:hAnsi="宋体" w:cs="宋体"/>
                <w:color w:val="auto"/>
                <w:sz w:val="24"/>
                <w:szCs w:val="24"/>
              </w:rPr>
            </w:pPr>
          </w:p>
        </w:tc>
        <w:tc>
          <w:tcPr>
            <w:tcW w:w="1454" w:type="dxa"/>
            <w:vAlign w:val="center"/>
          </w:tcPr>
          <w:p w14:paraId="11B56D46">
            <w:pPr>
              <w:pStyle w:val="33"/>
              <w:rPr>
                <w:color w:val="auto"/>
                <w:sz w:val="24"/>
                <w:szCs w:val="24"/>
              </w:rPr>
            </w:pPr>
            <w:r>
              <w:rPr>
                <w:rFonts w:hint="eastAsia"/>
                <w:color w:val="auto"/>
                <w:sz w:val="24"/>
                <w:szCs w:val="24"/>
              </w:rPr>
              <w:t>员工生活</w:t>
            </w:r>
          </w:p>
        </w:tc>
        <w:tc>
          <w:tcPr>
            <w:tcW w:w="1083" w:type="dxa"/>
            <w:vAlign w:val="center"/>
          </w:tcPr>
          <w:p w14:paraId="782DC5B5">
            <w:pPr>
              <w:pStyle w:val="33"/>
              <w:rPr>
                <w:color w:val="auto"/>
                <w:sz w:val="24"/>
                <w:szCs w:val="24"/>
              </w:rPr>
            </w:pPr>
            <w:r>
              <w:rPr>
                <w:rFonts w:hint="eastAsia"/>
                <w:color w:val="auto"/>
                <w:sz w:val="24"/>
                <w:szCs w:val="24"/>
              </w:rPr>
              <w:t>生活垃圾</w:t>
            </w:r>
          </w:p>
        </w:tc>
        <w:tc>
          <w:tcPr>
            <w:tcW w:w="2616" w:type="dxa"/>
            <w:vAlign w:val="center"/>
          </w:tcPr>
          <w:p w14:paraId="0F06A233">
            <w:pPr>
              <w:pStyle w:val="33"/>
              <w:rPr>
                <w:color w:val="auto"/>
                <w:sz w:val="24"/>
                <w:szCs w:val="24"/>
              </w:rPr>
            </w:pPr>
            <w:r>
              <w:rPr>
                <w:color w:val="auto"/>
                <w:sz w:val="24"/>
                <w:szCs w:val="24"/>
              </w:rPr>
              <w:t>垃圾桶分类收集，由环卫部门统一清运</w:t>
            </w:r>
          </w:p>
        </w:tc>
        <w:tc>
          <w:tcPr>
            <w:tcW w:w="2220" w:type="dxa"/>
            <w:vAlign w:val="center"/>
          </w:tcPr>
          <w:p w14:paraId="0C89324E">
            <w:pPr>
              <w:pStyle w:val="33"/>
              <w:rPr>
                <w:rFonts w:hint="eastAsia" w:eastAsia="宋体"/>
                <w:color w:val="auto"/>
                <w:sz w:val="24"/>
                <w:szCs w:val="24"/>
                <w:lang w:val="en-US" w:eastAsia="zh-CN"/>
              </w:rPr>
            </w:pPr>
            <w:r>
              <w:rPr>
                <w:rFonts w:hint="eastAsia"/>
                <w:color w:val="auto"/>
                <w:sz w:val="24"/>
                <w:szCs w:val="24"/>
                <w:lang w:val="en-US" w:eastAsia="zh-CN"/>
              </w:rPr>
              <w:t>/</w:t>
            </w:r>
          </w:p>
        </w:tc>
      </w:tr>
      <w:tr w14:paraId="71F8CB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427" w:type="dxa"/>
            <w:vMerge w:val="continue"/>
            <w:vAlign w:val="center"/>
          </w:tcPr>
          <w:p w14:paraId="427637FD">
            <w:pPr>
              <w:adjustRightInd w:val="0"/>
              <w:snapToGrid w:val="0"/>
              <w:spacing w:line="240" w:lineRule="auto"/>
              <w:ind w:firstLine="0" w:firstLineChars="0"/>
              <w:jc w:val="center"/>
              <w:rPr>
                <w:rFonts w:hint="eastAsia" w:ascii="宋体" w:hAnsi="宋体" w:cs="宋体"/>
                <w:color w:val="auto"/>
                <w:sz w:val="24"/>
                <w:szCs w:val="24"/>
              </w:rPr>
            </w:pPr>
          </w:p>
        </w:tc>
        <w:tc>
          <w:tcPr>
            <w:tcW w:w="1454" w:type="dxa"/>
            <w:vAlign w:val="center"/>
          </w:tcPr>
          <w:p w14:paraId="5E11A744">
            <w:pPr>
              <w:pStyle w:val="33"/>
              <w:rPr>
                <w:rFonts w:hint="eastAsia" w:eastAsia="宋体"/>
                <w:color w:val="auto"/>
                <w:sz w:val="24"/>
                <w:szCs w:val="24"/>
                <w:lang w:val="en-US" w:eastAsia="zh-CN"/>
              </w:rPr>
            </w:pPr>
            <w:r>
              <w:rPr>
                <w:rFonts w:hint="eastAsia"/>
                <w:color w:val="auto"/>
                <w:sz w:val="24"/>
                <w:szCs w:val="24"/>
                <w:lang w:val="en-US" w:eastAsia="zh-CN"/>
              </w:rPr>
              <w:t>废润滑油</w:t>
            </w:r>
          </w:p>
        </w:tc>
        <w:tc>
          <w:tcPr>
            <w:tcW w:w="1083" w:type="dxa"/>
            <w:vAlign w:val="center"/>
          </w:tcPr>
          <w:p w14:paraId="5DBA2F3D">
            <w:pPr>
              <w:pStyle w:val="33"/>
              <w:rPr>
                <w:rFonts w:hint="default" w:eastAsia="宋体"/>
                <w:color w:val="auto"/>
                <w:sz w:val="24"/>
                <w:szCs w:val="24"/>
                <w:lang w:val="en-US" w:eastAsia="zh-CN"/>
              </w:rPr>
            </w:pPr>
            <w:r>
              <w:rPr>
                <w:rFonts w:hint="eastAsia"/>
                <w:color w:val="auto"/>
                <w:sz w:val="24"/>
                <w:szCs w:val="24"/>
                <w:lang w:val="en-US" w:eastAsia="zh-CN"/>
              </w:rPr>
              <w:t>设备维修保养</w:t>
            </w:r>
          </w:p>
        </w:tc>
        <w:tc>
          <w:tcPr>
            <w:tcW w:w="2616" w:type="dxa"/>
            <w:vMerge w:val="restart"/>
            <w:vAlign w:val="center"/>
          </w:tcPr>
          <w:p w14:paraId="18FCB155">
            <w:pPr>
              <w:pStyle w:val="33"/>
              <w:rPr>
                <w:color w:val="auto"/>
                <w:sz w:val="24"/>
                <w:szCs w:val="24"/>
              </w:rPr>
            </w:pPr>
            <w:r>
              <w:rPr>
                <w:rFonts w:hint="eastAsia"/>
                <w:color w:val="auto"/>
                <w:sz w:val="24"/>
                <w:szCs w:val="24"/>
                <w:lang w:val="en-US" w:eastAsia="zh-CN"/>
              </w:rPr>
              <w:t>废润滑油和含油抹布及手套</w:t>
            </w:r>
            <w:r>
              <w:rPr>
                <w:rFonts w:hint="eastAsia"/>
                <w:color w:val="auto"/>
                <w:sz w:val="24"/>
                <w:szCs w:val="24"/>
                <w:lang w:eastAsia="zh-CN"/>
              </w:rPr>
              <w:t>分类收集后暂存于危废贮存点，定期委托有危险废物处置资质的单位处置。</w:t>
            </w:r>
          </w:p>
        </w:tc>
        <w:tc>
          <w:tcPr>
            <w:tcW w:w="2220" w:type="dxa"/>
            <w:vMerge w:val="restart"/>
            <w:vAlign w:val="center"/>
          </w:tcPr>
          <w:p w14:paraId="0E78C5F7">
            <w:pPr>
              <w:pStyle w:val="33"/>
              <w:rPr>
                <w:rFonts w:hint="eastAsia"/>
                <w:color w:val="auto"/>
                <w:sz w:val="24"/>
                <w:szCs w:val="24"/>
                <w:lang w:val="en-US" w:eastAsia="zh-CN"/>
              </w:rPr>
            </w:pPr>
            <w:r>
              <w:rPr>
                <w:rFonts w:hint="eastAsia"/>
                <w:color w:val="auto"/>
                <w:sz w:val="24"/>
                <w:szCs w:val="24"/>
                <w:lang w:val="en-US" w:eastAsia="zh-CN"/>
              </w:rPr>
              <w:t>《危险废物贮存污染控制标准》（GB 18597—2023）</w:t>
            </w:r>
          </w:p>
        </w:tc>
      </w:tr>
      <w:tr w14:paraId="59EBE0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427" w:type="dxa"/>
            <w:vMerge w:val="continue"/>
            <w:vAlign w:val="center"/>
          </w:tcPr>
          <w:p w14:paraId="01BA4894">
            <w:pPr>
              <w:adjustRightInd w:val="0"/>
              <w:snapToGrid w:val="0"/>
              <w:spacing w:line="240" w:lineRule="auto"/>
              <w:ind w:firstLine="0" w:firstLineChars="0"/>
              <w:jc w:val="center"/>
              <w:rPr>
                <w:rFonts w:hint="eastAsia" w:ascii="宋体" w:hAnsi="宋体" w:cs="宋体"/>
                <w:color w:val="auto"/>
                <w:sz w:val="24"/>
                <w:szCs w:val="24"/>
              </w:rPr>
            </w:pPr>
          </w:p>
        </w:tc>
        <w:tc>
          <w:tcPr>
            <w:tcW w:w="1454" w:type="dxa"/>
            <w:vAlign w:val="center"/>
          </w:tcPr>
          <w:p w14:paraId="10B7BC5E">
            <w:pPr>
              <w:pStyle w:val="33"/>
              <w:rPr>
                <w:rFonts w:hint="default" w:eastAsia="宋体"/>
                <w:color w:val="auto"/>
                <w:sz w:val="24"/>
                <w:szCs w:val="24"/>
                <w:lang w:val="en-US" w:eastAsia="zh-CN"/>
              </w:rPr>
            </w:pPr>
            <w:r>
              <w:rPr>
                <w:rFonts w:hint="eastAsia"/>
                <w:color w:val="auto"/>
                <w:sz w:val="24"/>
                <w:szCs w:val="24"/>
                <w:lang w:val="en-US" w:eastAsia="zh-CN"/>
              </w:rPr>
              <w:t>含油抹布及手套</w:t>
            </w:r>
          </w:p>
        </w:tc>
        <w:tc>
          <w:tcPr>
            <w:tcW w:w="1083" w:type="dxa"/>
            <w:vAlign w:val="center"/>
          </w:tcPr>
          <w:p w14:paraId="6E8F65C8">
            <w:pPr>
              <w:pStyle w:val="33"/>
              <w:rPr>
                <w:rFonts w:hint="eastAsia" w:eastAsia="宋体"/>
                <w:color w:val="auto"/>
                <w:sz w:val="24"/>
                <w:szCs w:val="24"/>
                <w:lang w:val="en-US" w:eastAsia="zh-CN"/>
              </w:rPr>
            </w:pPr>
            <w:r>
              <w:rPr>
                <w:rFonts w:hint="eastAsia"/>
                <w:color w:val="auto"/>
                <w:sz w:val="24"/>
                <w:szCs w:val="24"/>
                <w:lang w:val="en-US" w:eastAsia="zh-CN"/>
              </w:rPr>
              <w:t>设备维修保养</w:t>
            </w:r>
          </w:p>
        </w:tc>
        <w:tc>
          <w:tcPr>
            <w:tcW w:w="2616" w:type="dxa"/>
            <w:vMerge w:val="continue"/>
            <w:vAlign w:val="center"/>
          </w:tcPr>
          <w:p w14:paraId="54AC0B3E">
            <w:pPr>
              <w:pStyle w:val="33"/>
              <w:rPr>
                <w:color w:val="auto"/>
                <w:sz w:val="24"/>
                <w:szCs w:val="24"/>
              </w:rPr>
            </w:pPr>
          </w:p>
        </w:tc>
        <w:tc>
          <w:tcPr>
            <w:tcW w:w="2220" w:type="dxa"/>
            <w:vMerge w:val="continue"/>
            <w:vAlign w:val="center"/>
          </w:tcPr>
          <w:p w14:paraId="5DBE8D75">
            <w:pPr>
              <w:pStyle w:val="33"/>
              <w:rPr>
                <w:rFonts w:hint="eastAsia"/>
                <w:color w:val="auto"/>
                <w:sz w:val="24"/>
                <w:szCs w:val="24"/>
                <w:lang w:val="en-US" w:eastAsia="zh-CN"/>
              </w:rPr>
            </w:pPr>
          </w:p>
        </w:tc>
      </w:tr>
      <w:tr w14:paraId="0297E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427" w:type="dxa"/>
            <w:vAlign w:val="center"/>
          </w:tcPr>
          <w:p w14:paraId="0450343A">
            <w:pPr>
              <w:adjustRightInd w:val="0"/>
              <w:snapToGrid w:val="0"/>
              <w:spacing w:line="240" w:lineRule="auto"/>
              <w:ind w:firstLine="0" w:firstLineChars="0"/>
              <w:jc w:val="center"/>
              <w:rPr>
                <w:rFonts w:hint="eastAsia" w:ascii="宋体" w:hAnsi="宋体" w:cs="宋体"/>
                <w:color w:val="auto"/>
                <w:sz w:val="24"/>
                <w:szCs w:val="24"/>
              </w:rPr>
            </w:pPr>
            <w:r>
              <w:rPr>
                <w:rFonts w:hint="eastAsia" w:ascii="宋体" w:hAnsi="宋体" w:cs="宋体"/>
                <w:color w:val="auto"/>
                <w:sz w:val="24"/>
                <w:szCs w:val="24"/>
              </w:rPr>
              <w:t>土壤及地下水污染防治措施</w:t>
            </w:r>
          </w:p>
        </w:tc>
        <w:tc>
          <w:tcPr>
            <w:tcW w:w="7373" w:type="dxa"/>
            <w:gridSpan w:val="4"/>
            <w:vAlign w:val="center"/>
          </w:tcPr>
          <w:p w14:paraId="13F03E6F">
            <w:pPr>
              <w:adjustRightInd w:val="0"/>
              <w:snapToGrid w:val="0"/>
              <w:spacing w:line="240" w:lineRule="auto"/>
              <w:ind w:firstLine="0" w:firstLineChars="0"/>
              <w:jc w:val="both"/>
              <w:rPr>
                <w:rFonts w:hint="eastAsia" w:ascii="宋体" w:hAnsi="宋体" w:eastAsia="宋体" w:cs="宋体"/>
                <w:color w:val="auto"/>
                <w:sz w:val="24"/>
                <w:szCs w:val="24"/>
                <w:lang w:eastAsia="zh-CN"/>
              </w:rPr>
            </w:pPr>
            <w:r>
              <w:rPr>
                <w:rFonts w:hint="default" w:ascii="Times New Roman" w:hAnsi="Times New Roman" w:cs="Times New Roman"/>
                <w:color w:val="auto"/>
                <w:sz w:val="24"/>
                <w:szCs w:val="24"/>
              </w:rPr>
              <w:t>生产废水采用密闭管道收集，隔油沉淀池、A/O一体化污水处理设备及危废贮存点采取相应防渗措施，各类固体废物分类收集、妥善处置。正常工况下无废水、废液直接进入土壤和地下水的途径，对土壤及地下水环境影响较小</w:t>
            </w:r>
            <w:r>
              <w:rPr>
                <w:rFonts w:hint="eastAsia" w:ascii="Times New Roman" w:hAnsi="Times New Roman" w:cs="Times New Roman"/>
                <w:color w:val="auto"/>
                <w:sz w:val="24"/>
                <w:szCs w:val="24"/>
                <w:lang w:eastAsia="zh-CN"/>
              </w:rPr>
              <w:t>。</w:t>
            </w:r>
          </w:p>
        </w:tc>
      </w:tr>
      <w:tr w14:paraId="0D5E61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427" w:type="dxa"/>
            <w:vAlign w:val="center"/>
          </w:tcPr>
          <w:p w14:paraId="185F078F">
            <w:pPr>
              <w:adjustRightInd w:val="0"/>
              <w:snapToGrid w:val="0"/>
              <w:spacing w:line="240" w:lineRule="auto"/>
              <w:ind w:firstLine="0" w:firstLineChars="0"/>
              <w:jc w:val="center"/>
              <w:rPr>
                <w:rFonts w:hint="eastAsia" w:ascii="宋体" w:hAnsi="宋体" w:cs="宋体"/>
                <w:color w:val="auto"/>
                <w:sz w:val="24"/>
                <w:szCs w:val="24"/>
              </w:rPr>
            </w:pPr>
            <w:r>
              <w:rPr>
                <w:rFonts w:hint="eastAsia" w:ascii="宋体" w:hAnsi="宋体" w:cs="宋体"/>
                <w:color w:val="auto"/>
                <w:sz w:val="24"/>
                <w:szCs w:val="24"/>
              </w:rPr>
              <w:t>生态保护措施</w:t>
            </w:r>
          </w:p>
        </w:tc>
        <w:tc>
          <w:tcPr>
            <w:tcW w:w="7373" w:type="dxa"/>
            <w:gridSpan w:val="4"/>
            <w:vAlign w:val="center"/>
          </w:tcPr>
          <w:p w14:paraId="10B1BAF7">
            <w:pPr>
              <w:adjustRightInd w:val="0"/>
              <w:snapToGrid w:val="0"/>
              <w:spacing w:line="240" w:lineRule="auto"/>
              <w:ind w:firstLine="0" w:firstLineChars="0"/>
              <w:jc w:val="both"/>
              <w:rPr>
                <w:rFonts w:hint="eastAsia" w:ascii="宋体" w:hAnsi="宋体" w:eastAsia="宋体" w:cs="宋体"/>
                <w:color w:val="auto"/>
                <w:sz w:val="24"/>
                <w:szCs w:val="24"/>
                <w:lang w:eastAsia="zh-CN"/>
              </w:rPr>
            </w:pPr>
            <w:r>
              <w:rPr>
                <w:rFonts w:hint="eastAsia" w:ascii="宋体" w:hAnsi="宋体" w:cs="宋体"/>
                <w:color w:val="auto"/>
                <w:sz w:val="24"/>
                <w:szCs w:val="24"/>
              </w:rPr>
              <w:t>项目位于已开发工业园区内，周边不涉及自然保护区、生态保护红线等生态敏感区，项目建设及运营不会造成明显生态破坏，对区域生态环境影响较小</w:t>
            </w:r>
            <w:r>
              <w:rPr>
                <w:rFonts w:hint="eastAsia" w:ascii="宋体" w:hAnsi="宋体" w:cs="宋体"/>
                <w:color w:val="auto"/>
                <w:sz w:val="24"/>
                <w:szCs w:val="24"/>
                <w:lang w:eastAsia="zh-CN"/>
              </w:rPr>
              <w:t>。</w:t>
            </w:r>
          </w:p>
        </w:tc>
      </w:tr>
      <w:tr w14:paraId="05AEE0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427" w:type="dxa"/>
            <w:vAlign w:val="center"/>
          </w:tcPr>
          <w:p w14:paraId="78C31E8A">
            <w:pPr>
              <w:adjustRightInd w:val="0"/>
              <w:snapToGrid w:val="0"/>
              <w:spacing w:line="240" w:lineRule="auto"/>
              <w:ind w:firstLine="0" w:firstLineChars="0"/>
              <w:jc w:val="center"/>
              <w:rPr>
                <w:rFonts w:hint="eastAsia" w:ascii="宋体" w:hAnsi="宋体" w:cs="宋体"/>
                <w:color w:val="auto"/>
                <w:spacing w:val="-8"/>
                <w:sz w:val="24"/>
                <w:szCs w:val="24"/>
              </w:rPr>
            </w:pPr>
            <w:r>
              <w:rPr>
                <w:rFonts w:hint="eastAsia" w:ascii="宋体" w:hAnsi="宋体" w:cs="宋体"/>
                <w:color w:val="auto"/>
                <w:spacing w:val="-8"/>
                <w:sz w:val="24"/>
                <w:szCs w:val="24"/>
              </w:rPr>
              <w:t>环境风险</w:t>
            </w:r>
          </w:p>
          <w:p w14:paraId="7077857F">
            <w:pPr>
              <w:adjustRightInd w:val="0"/>
              <w:snapToGrid w:val="0"/>
              <w:spacing w:line="240" w:lineRule="auto"/>
              <w:ind w:firstLine="0" w:firstLineChars="0"/>
              <w:jc w:val="center"/>
              <w:rPr>
                <w:rFonts w:hint="eastAsia" w:ascii="宋体" w:hAnsi="宋体" w:cs="宋体"/>
                <w:color w:val="auto"/>
                <w:spacing w:val="-8"/>
                <w:sz w:val="24"/>
                <w:szCs w:val="24"/>
              </w:rPr>
            </w:pPr>
            <w:r>
              <w:rPr>
                <w:rFonts w:hint="eastAsia" w:ascii="宋体" w:hAnsi="宋体" w:cs="宋体"/>
                <w:color w:val="auto"/>
                <w:spacing w:val="-8"/>
                <w:sz w:val="24"/>
                <w:szCs w:val="24"/>
              </w:rPr>
              <w:t>防范措施</w:t>
            </w:r>
          </w:p>
        </w:tc>
        <w:tc>
          <w:tcPr>
            <w:tcW w:w="7373" w:type="dxa"/>
            <w:gridSpan w:val="4"/>
            <w:vAlign w:val="center"/>
          </w:tcPr>
          <w:p w14:paraId="34495299">
            <w:pPr>
              <w:adjustRightInd w:val="0"/>
              <w:snapToGrid w:val="0"/>
              <w:spacing w:line="240" w:lineRule="auto"/>
              <w:ind w:firstLine="0" w:firstLineChars="0"/>
              <w:rPr>
                <w:color w:val="auto"/>
                <w:sz w:val="24"/>
                <w:szCs w:val="24"/>
              </w:rPr>
            </w:pPr>
            <w:r>
              <w:rPr>
                <w:rFonts w:hint="eastAsia"/>
                <w:color w:val="auto"/>
                <w:sz w:val="24"/>
                <w:szCs w:val="24"/>
              </w:rPr>
              <w:t>（1）</w:t>
            </w:r>
            <w:r>
              <w:rPr>
                <w:color w:val="auto"/>
                <w:sz w:val="24"/>
                <w:szCs w:val="24"/>
              </w:rPr>
              <w:t>天然气管道、阀门定期检查，设置燃气泄漏报警及紧急切断措施；</w:t>
            </w:r>
          </w:p>
          <w:p w14:paraId="7BF27BFD">
            <w:pPr>
              <w:adjustRightInd w:val="0"/>
              <w:snapToGrid w:val="0"/>
              <w:spacing w:line="240" w:lineRule="auto"/>
              <w:ind w:firstLine="0" w:firstLineChars="0"/>
              <w:rPr>
                <w:color w:val="auto"/>
                <w:sz w:val="24"/>
                <w:szCs w:val="24"/>
              </w:rPr>
            </w:pPr>
            <w:r>
              <w:rPr>
                <w:rFonts w:hint="eastAsia"/>
                <w:color w:val="auto"/>
                <w:sz w:val="24"/>
                <w:szCs w:val="24"/>
              </w:rPr>
              <w:t>（2）</w:t>
            </w:r>
            <w:r>
              <w:rPr>
                <w:color w:val="auto"/>
                <w:sz w:val="24"/>
                <w:szCs w:val="24"/>
              </w:rPr>
              <w:t>生产废水收集管线、隔油池和沉淀池定期巡检；</w:t>
            </w:r>
          </w:p>
          <w:p w14:paraId="208B92E5">
            <w:pPr>
              <w:adjustRightInd w:val="0"/>
              <w:snapToGrid w:val="0"/>
              <w:spacing w:line="240" w:lineRule="auto"/>
              <w:ind w:firstLine="0" w:firstLineChars="0"/>
              <w:rPr>
                <w:color w:val="auto"/>
                <w:sz w:val="24"/>
                <w:szCs w:val="24"/>
              </w:rPr>
            </w:pPr>
            <w:r>
              <w:rPr>
                <w:rFonts w:hint="eastAsia"/>
                <w:color w:val="auto"/>
                <w:sz w:val="24"/>
                <w:szCs w:val="24"/>
              </w:rPr>
              <w:t>（3）</w:t>
            </w:r>
            <w:r>
              <w:rPr>
                <w:color w:val="auto"/>
                <w:sz w:val="24"/>
                <w:szCs w:val="24"/>
              </w:rPr>
              <w:t>配备应急沙袋、吸附材料、消防器材等物资，雨水排口具备临时封堵条件；</w:t>
            </w:r>
          </w:p>
          <w:p w14:paraId="258F29F1">
            <w:pPr>
              <w:adjustRightInd w:val="0"/>
              <w:snapToGrid w:val="0"/>
              <w:spacing w:line="240" w:lineRule="auto"/>
              <w:ind w:firstLine="0" w:firstLineChars="0"/>
              <w:rPr>
                <w:color w:val="auto"/>
                <w:sz w:val="24"/>
                <w:szCs w:val="24"/>
              </w:rPr>
            </w:pPr>
            <w:r>
              <w:rPr>
                <w:rFonts w:hint="eastAsia"/>
                <w:color w:val="auto"/>
                <w:sz w:val="24"/>
                <w:szCs w:val="24"/>
              </w:rPr>
              <w:t>（4）</w:t>
            </w:r>
            <w:r>
              <w:rPr>
                <w:color w:val="auto"/>
                <w:sz w:val="24"/>
                <w:szCs w:val="24"/>
              </w:rPr>
              <w:t>废气治理设施故障时立即停止相应产污工序；</w:t>
            </w:r>
          </w:p>
          <w:p w14:paraId="0048D8B9">
            <w:pPr>
              <w:adjustRightInd w:val="0"/>
              <w:snapToGrid w:val="0"/>
              <w:spacing w:line="240" w:lineRule="auto"/>
              <w:ind w:firstLine="0" w:firstLineChars="0"/>
              <w:rPr>
                <w:rFonts w:hint="eastAsia" w:ascii="宋体" w:hAnsi="宋体" w:cs="宋体"/>
                <w:color w:val="auto"/>
                <w:sz w:val="24"/>
                <w:szCs w:val="24"/>
              </w:rPr>
            </w:pPr>
            <w:r>
              <w:rPr>
                <w:rFonts w:hint="eastAsia"/>
                <w:color w:val="auto"/>
                <w:sz w:val="24"/>
                <w:szCs w:val="24"/>
              </w:rPr>
              <w:t>（5）</w:t>
            </w:r>
            <w:r>
              <w:rPr>
                <w:color w:val="auto"/>
                <w:sz w:val="24"/>
                <w:szCs w:val="24"/>
              </w:rPr>
              <w:t>食品油脂及包装材料分类规范存放，严禁堵塞消防通道和靠近高温、明火区域</w:t>
            </w:r>
          </w:p>
        </w:tc>
      </w:tr>
      <w:tr w14:paraId="0A752F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427" w:type="dxa"/>
            <w:vAlign w:val="center"/>
          </w:tcPr>
          <w:p w14:paraId="20E126C0">
            <w:pPr>
              <w:adjustRightInd w:val="0"/>
              <w:snapToGrid w:val="0"/>
              <w:spacing w:line="240" w:lineRule="auto"/>
              <w:ind w:firstLine="0" w:firstLineChars="0"/>
              <w:jc w:val="center"/>
              <w:rPr>
                <w:rFonts w:hint="eastAsia" w:ascii="宋体" w:hAnsi="宋体" w:cs="宋体"/>
                <w:color w:val="auto"/>
                <w:spacing w:val="-8"/>
                <w:sz w:val="24"/>
                <w:szCs w:val="24"/>
              </w:rPr>
            </w:pPr>
            <w:r>
              <w:rPr>
                <w:rFonts w:hint="eastAsia" w:ascii="宋体" w:hAnsi="宋体" w:cs="宋体"/>
                <w:color w:val="auto"/>
                <w:spacing w:val="-8"/>
                <w:sz w:val="24"/>
                <w:szCs w:val="24"/>
              </w:rPr>
              <w:t>其他环境</w:t>
            </w:r>
          </w:p>
          <w:p w14:paraId="78985DFD">
            <w:pPr>
              <w:adjustRightInd w:val="0"/>
              <w:snapToGrid w:val="0"/>
              <w:spacing w:line="240" w:lineRule="auto"/>
              <w:ind w:firstLine="0" w:firstLineChars="0"/>
              <w:jc w:val="center"/>
              <w:rPr>
                <w:rFonts w:hint="eastAsia" w:ascii="宋体" w:hAnsi="宋体" w:cs="宋体"/>
                <w:color w:val="auto"/>
                <w:spacing w:val="-8"/>
                <w:sz w:val="24"/>
                <w:szCs w:val="24"/>
              </w:rPr>
            </w:pPr>
            <w:r>
              <w:rPr>
                <w:rFonts w:hint="eastAsia" w:ascii="宋体" w:hAnsi="宋体" w:cs="宋体"/>
                <w:color w:val="auto"/>
                <w:spacing w:val="-8"/>
                <w:sz w:val="24"/>
                <w:szCs w:val="24"/>
              </w:rPr>
              <w:t>管理要求</w:t>
            </w:r>
          </w:p>
        </w:tc>
        <w:tc>
          <w:tcPr>
            <w:tcW w:w="7373" w:type="dxa"/>
            <w:gridSpan w:val="4"/>
            <w:vAlign w:val="center"/>
          </w:tcPr>
          <w:p w14:paraId="085A9C73">
            <w:pPr>
              <w:adjustRightInd w:val="0"/>
              <w:snapToGrid w:val="0"/>
              <w:ind w:firstLine="0" w:firstLineChars="0"/>
              <w:rPr>
                <w:color w:val="auto"/>
                <w:sz w:val="24"/>
                <w:szCs w:val="24"/>
              </w:rPr>
            </w:pPr>
            <w:r>
              <w:rPr>
                <w:rFonts w:hint="eastAsia"/>
                <w:color w:val="auto"/>
                <w:sz w:val="24"/>
                <w:szCs w:val="24"/>
              </w:rPr>
              <w:t>排污许可：本项目属于调味品、发酵制品制造146，且涉及熟制、炒制等生产工艺，并非单纯混合或分装，按照《固定污染源排污许可分类管理名录（2019年版）》实行排污许可简化管理，依法申请取得排污许可证并按证排污。</w:t>
            </w:r>
          </w:p>
          <w:p w14:paraId="1730A871">
            <w:pPr>
              <w:adjustRightInd w:val="0"/>
              <w:snapToGrid w:val="0"/>
              <w:ind w:firstLine="0" w:firstLineChars="0"/>
              <w:rPr>
                <w:color w:val="auto"/>
                <w:sz w:val="24"/>
                <w:szCs w:val="24"/>
              </w:rPr>
            </w:pPr>
            <w:r>
              <w:rPr>
                <w:rFonts w:hint="eastAsia"/>
                <w:color w:val="auto"/>
                <w:sz w:val="24"/>
                <w:szCs w:val="24"/>
              </w:rPr>
              <w:t>应急预案：投产前编制突发环境事件应急预案并向属地生态环境主管部门备案，定期开展应急演练与培训，建立应急物资台账。</w:t>
            </w:r>
          </w:p>
          <w:p w14:paraId="40BAC786">
            <w:pPr>
              <w:adjustRightInd w:val="0"/>
              <w:snapToGrid w:val="0"/>
              <w:ind w:firstLine="0" w:firstLineChars="0"/>
              <w:rPr>
                <w:color w:val="auto"/>
                <w:sz w:val="24"/>
                <w:szCs w:val="24"/>
              </w:rPr>
            </w:pPr>
            <w:r>
              <w:rPr>
                <w:rFonts w:hint="eastAsia"/>
                <w:color w:val="auto"/>
                <w:sz w:val="24"/>
                <w:szCs w:val="24"/>
              </w:rPr>
              <w:t>竣工环保验收：环保设施与主体工程同步落实，按照建设项目竣工环境保护验收相关要求开展自主验收，并形成验收报告。</w:t>
            </w:r>
          </w:p>
          <w:p w14:paraId="58853CAA">
            <w:pPr>
              <w:adjustRightInd w:val="0"/>
              <w:snapToGrid w:val="0"/>
              <w:ind w:firstLine="0" w:firstLineChars="0"/>
              <w:rPr>
                <w:color w:val="auto"/>
                <w:sz w:val="24"/>
                <w:szCs w:val="24"/>
              </w:rPr>
            </w:pPr>
            <w:r>
              <w:rPr>
                <w:rFonts w:hint="eastAsia"/>
                <w:color w:val="auto"/>
                <w:sz w:val="24"/>
                <w:szCs w:val="24"/>
              </w:rPr>
              <w:t>环境管理及监测：</w:t>
            </w:r>
            <w:r>
              <w:rPr>
                <w:color w:val="auto"/>
                <w:sz w:val="24"/>
                <w:szCs w:val="24"/>
              </w:rPr>
              <w:t>建立环保设施运行、废水处理、固体废物及环境风险管理台账；按自行监测计划开展废气、废水和厂界噪声监测；规范设置废气、废水排放口及环境保护标识</w:t>
            </w:r>
            <w:r>
              <w:rPr>
                <w:rFonts w:hint="eastAsia"/>
                <w:color w:val="auto"/>
                <w:sz w:val="24"/>
                <w:szCs w:val="24"/>
              </w:rPr>
              <w:t>。</w:t>
            </w:r>
          </w:p>
        </w:tc>
      </w:tr>
    </w:tbl>
    <w:p w14:paraId="4CAE46B5">
      <w:pPr>
        <w:pStyle w:val="13"/>
        <w:spacing w:beforeAutospacing="0" w:afterAutospacing="0"/>
        <w:outlineLvl w:val="0"/>
        <w:rPr>
          <w:rFonts w:hint="eastAsia" w:ascii="黑体" w:hAnsi="黑体" w:eastAsia="黑体"/>
          <w:snapToGrid w:val="0"/>
          <w:color w:val="auto"/>
          <w:sz w:val="30"/>
          <w:szCs w:val="30"/>
        </w:rPr>
      </w:pPr>
      <w:r>
        <w:rPr>
          <w:snapToGrid w:val="0"/>
          <w:color w:val="auto"/>
          <w:sz w:val="24"/>
          <w:szCs w:val="24"/>
        </w:rPr>
        <w:br w:type="page"/>
      </w:r>
      <w:bookmarkStart w:id="8" w:name="_Toc15619"/>
      <w:r>
        <w:rPr>
          <w:rFonts w:hint="eastAsia" w:ascii="黑体" w:hAnsi="黑体" w:eastAsia="黑体"/>
          <w:snapToGrid w:val="0"/>
          <w:color w:val="auto"/>
          <w:sz w:val="30"/>
          <w:szCs w:val="30"/>
        </w:rPr>
        <w:t>六、结论</w:t>
      </w:r>
      <w:bookmarkEnd w:id="8"/>
    </w:p>
    <w:tbl>
      <w:tblPr>
        <w:tblStyle w:val="16"/>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00C01C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9060" w:type="dxa"/>
          </w:tcPr>
          <w:p w14:paraId="54DB6BB7">
            <w:pPr>
              <w:ind w:firstLine="480"/>
              <w:rPr>
                <w:rFonts w:ascii="宋体" w:cs="宋体"/>
                <w:color w:val="auto"/>
              </w:rPr>
            </w:pPr>
            <w:r>
              <w:rPr>
                <w:rFonts w:ascii="宋体" w:cs="宋体"/>
                <w:color w:val="auto"/>
              </w:rPr>
              <w:t>本项目符合国家产业政策，项目选址合理，项目在营运期产生的废水、废气、噪声及固废拟采取的污染防治措施及各种生态环境保护措施技术可靠、经济可行，污染物经过处理后区域内环境质量不会受到太大影响。项目建成投产后，将具有良好的经济、社会和环境效益，只要项目认真落实本报告中提出的各项污染防治对策措施，严格执行</w:t>
            </w:r>
            <w:r>
              <w:rPr>
                <w:rFonts w:hint="eastAsia" w:asciiTheme="minorEastAsia" w:hAnsiTheme="minorEastAsia" w:eastAsiaTheme="minorEastAsia" w:cstheme="minorEastAsia"/>
                <w:color w:val="auto"/>
              </w:rPr>
              <w:t>“三同时”制</w:t>
            </w:r>
            <w:r>
              <w:rPr>
                <w:rFonts w:ascii="宋体" w:cs="宋体"/>
                <w:color w:val="auto"/>
              </w:rPr>
              <w:t>度，保证环境保护措施的有效运行，确保污染物稳定达标排放、固体废物安全处置，则从环境保护角度出发，本项目建设是可行的。</w:t>
            </w:r>
          </w:p>
        </w:tc>
      </w:tr>
    </w:tbl>
    <w:p w14:paraId="651CDB34">
      <w:pPr>
        <w:ind w:firstLine="480"/>
        <w:rPr>
          <w:rFonts w:ascii="宋体"/>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1F123CB9">
      <w:pPr>
        <w:pStyle w:val="13"/>
        <w:adjustRightInd w:val="0"/>
        <w:snapToGrid w:val="0"/>
        <w:spacing w:beforeAutospacing="0" w:afterAutospacing="0"/>
        <w:jc w:val="left"/>
        <w:outlineLvl w:val="0"/>
        <w:rPr>
          <w:rFonts w:hint="eastAsia" w:ascii="黑体" w:hAnsi="黑体" w:eastAsia="黑体"/>
          <w:snapToGrid w:val="0"/>
          <w:color w:val="auto"/>
          <w:sz w:val="32"/>
          <w:szCs w:val="32"/>
        </w:rPr>
      </w:pPr>
      <w:bookmarkStart w:id="9" w:name="_Toc16570"/>
      <w:r>
        <w:rPr>
          <w:rFonts w:hint="eastAsia" w:cs="宋体"/>
          <w:snapToGrid w:val="0"/>
          <w:color w:val="auto"/>
          <w:sz w:val="32"/>
          <w:szCs w:val="32"/>
        </w:rPr>
        <w:t>附表</w:t>
      </w:r>
      <w:bookmarkEnd w:id="9"/>
    </w:p>
    <w:p w14:paraId="19B05A8E">
      <w:pPr>
        <w:pStyle w:val="13"/>
        <w:adjustRightInd w:val="0"/>
        <w:snapToGrid w:val="0"/>
        <w:spacing w:beforeAutospacing="0" w:afterAutospacing="0" w:line="240" w:lineRule="auto"/>
        <w:outlineLvl w:val="0"/>
        <w:rPr>
          <w:rFonts w:hint="eastAsia" w:ascii="方正小标宋_GBK" w:hAnsi="黑体" w:eastAsia="方正小标宋_GBK"/>
          <w:snapToGrid w:val="0"/>
          <w:color w:val="auto"/>
          <w:sz w:val="38"/>
          <w:szCs w:val="38"/>
        </w:rPr>
      </w:pPr>
      <w:bookmarkStart w:id="10" w:name="_Toc14659"/>
      <w:r>
        <w:rPr>
          <w:rFonts w:hint="eastAsia" w:cs="宋体"/>
          <w:snapToGrid w:val="0"/>
          <w:color w:val="auto"/>
          <w:sz w:val="38"/>
          <w:szCs w:val="38"/>
        </w:rPr>
        <w:t>建设项目污染物排放量汇总表</w:t>
      </w:r>
      <w:bookmarkEnd w:id="10"/>
    </w:p>
    <w:tbl>
      <w:tblPr>
        <w:tblStyle w:val="16"/>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521"/>
        <w:gridCol w:w="1264"/>
      </w:tblGrid>
      <w:tr w14:paraId="0EE092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tcMar>
              <w:left w:w="28" w:type="dxa"/>
              <w:right w:w="28" w:type="dxa"/>
            </w:tcMar>
            <w:vAlign w:val="center"/>
          </w:tcPr>
          <w:p w14:paraId="1D8EA8CB">
            <w:pPr>
              <w:pStyle w:val="33"/>
              <w:jc w:val="right"/>
              <w:rPr>
                <w:rFonts w:hint="eastAsia" w:ascii="黑体" w:hAnsi="黑体" w:eastAsia="黑体" w:cs="宋体"/>
                <w:snapToGrid w:val="0"/>
                <w:color w:val="auto"/>
                <w:spacing w:val="-6"/>
                <w:kern w:val="21"/>
              </w:rPr>
            </w:pPr>
            <w:r>
              <w:rPr>
                <w:rFonts w:hint="eastAsia" w:ascii="黑体" w:hAnsi="黑体" w:eastAsia="黑体" w:cs="宋体"/>
                <w:snapToGrid w:val="0"/>
                <w:color w:val="auto"/>
                <w:spacing w:val="-6"/>
                <w:kern w:val="21"/>
              </w:rPr>
              <w:t>项目</w:t>
            </w:r>
          </w:p>
          <w:p w14:paraId="04EE37DC">
            <w:pPr>
              <w:pStyle w:val="33"/>
              <w:jc w:val="left"/>
              <w:rPr>
                <w:rFonts w:hint="eastAsia" w:ascii="黑体" w:hAnsi="黑体" w:eastAsia="黑体" w:cs="宋体"/>
                <w:snapToGrid w:val="0"/>
                <w:color w:val="auto"/>
                <w:spacing w:val="-6"/>
                <w:kern w:val="21"/>
              </w:rPr>
            </w:pPr>
            <w:r>
              <w:rPr>
                <w:rFonts w:hint="eastAsia" w:ascii="黑体" w:hAnsi="黑体" w:eastAsia="黑体" w:cs="宋体"/>
                <w:snapToGrid w:val="0"/>
                <w:color w:val="auto"/>
                <w:spacing w:val="-6"/>
                <w:kern w:val="21"/>
              </w:rPr>
              <w:t>分类</w:t>
            </w:r>
          </w:p>
        </w:tc>
        <w:tc>
          <w:tcPr>
            <w:tcW w:w="1417" w:type="dxa"/>
            <w:tcMar>
              <w:left w:w="28" w:type="dxa"/>
              <w:right w:w="28" w:type="dxa"/>
            </w:tcMar>
            <w:vAlign w:val="center"/>
          </w:tcPr>
          <w:p w14:paraId="41E1AAAB">
            <w:pPr>
              <w:pStyle w:val="33"/>
              <w:rPr>
                <w:rFonts w:hint="eastAsia" w:ascii="黑体" w:hAnsi="黑体" w:eastAsia="黑体" w:cs="宋体"/>
                <w:snapToGrid w:val="0"/>
                <w:color w:val="auto"/>
                <w:spacing w:val="-6"/>
                <w:kern w:val="21"/>
              </w:rPr>
            </w:pPr>
            <w:r>
              <w:rPr>
                <w:rFonts w:hint="eastAsia" w:ascii="黑体" w:hAnsi="黑体" w:eastAsia="黑体" w:cs="宋体"/>
                <w:snapToGrid w:val="0"/>
                <w:color w:val="auto"/>
                <w:spacing w:val="-6"/>
                <w:kern w:val="21"/>
              </w:rPr>
              <w:t>污染物名称</w:t>
            </w:r>
          </w:p>
        </w:tc>
        <w:tc>
          <w:tcPr>
            <w:tcW w:w="1701" w:type="dxa"/>
            <w:tcMar>
              <w:left w:w="28" w:type="dxa"/>
              <w:right w:w="28" w:type="dxa"/>
            </w:tcMar>
            <w:vAlign w:val="center"/>
          </w:tcPr>
          <w:p w14:paraId="095D415C">
            <w:pPr>
              <w:pStyle w:val="33"/>
              <w:rPr>
                <w:rFonts w:hint="eastAsia" w:ascii="黑体" w:hAnsi="黑体" w:eastAsia="黑体"/>
                <w:snapToGrid w:val="0"/>
                <w:color w:val="auto"/>
                <w:spacing w:val="-6"/>
                <w:kern w:val="21"/>
              </w:rPr>
            </w:pPr>
            <w:r>
              <w:rPr>
                <w:rFonts w:ascii="黑体" w:hAnsi="黑体" w:eastAsia="黑体"/>
                <w:snapToGrid w:val="0"/>
                <w:color w:val="auto"/>
                <w:spacing w:val="-6"/>
                <w:kern w:val="21"/>
              </w:rPr>
              <w:t>现有工程</w:t>
            </w:r>
          </w:p>
          <w:p w14:paraId="59A114BA">
            <w:pPr>
              <w:pStyle w:val="33"/>
              <w:rPr>
                <w:rFonts w:hint="eastAsia" w:ascii="黑体" w:hAnsi="黑体" w:eastAsia="黑体"/>
                <w:snapToGrid w:val="0"/>
                <w:color w:val="auto"/>
                <w:spacing w:val="-6"/>
                <w:kern w:val="21"/>
              </w:rPr>
            </w:pPr>
            <w:r>
              <w:rPr>
                <w:rFonts w:ascii="黑体" w:hAnsi="黑体" w:eastAsia="黑体"/>
                <w:snapToGrid w:val="0"/>
                <w:color w:val="auto"/>
                <w:spacing w:val="-6"/>
                <w:kern w:val="21"/>
              </w:rPr>
              <w:t>排放量（固</w:t>
            </w:r>
            <w:r>
              <w:rPr>
                <w:rFonts w:hint="eastAsia" w:ascii="黑体" w:hAnsi="黑体" w:eastAsia="黑体"/>
                <w:snapToGrid w:val="0"/>
                <w:color w:val="auto"/>
                <w:spacing w:val="-6"/>
                <w:kern w:val="21"/>
              </w:rPr>
              <w:t>体</w:t>
            </w:r>
            <w:r>
              <w:rPr>
                <w:rFonts w:ascii="黑体" w:hAnsi="黑体" w:eastAsia="黑体"/>
                <w:snapToGrid w:val="0"/>
                <w:color w:val="auto"/>
                <w:spacing w:val="-6"/>
                <w:kern w:val="21"/>
              </w:rPr>
              <w:t>废</w:t>
            </w:r>
            <w:r>
              <w:rPr>
                <w:rFonts w:hint="eastAsia" w:ascii="黑体" w:hAnsi="黑体" w:eastAsia="黑体"/>
                <w:snapToGrid w:val="0"/>
                <w:color w:val="auto"/>
                <w:spacing w:val="-6"/>
                <w:kern w:val="21"/>
              </w:rPr>
              <w:t>物</w:t>
            </w:r>
            <w:r>
              <w:rPr>
                <w:rFonts w:ascii="黑体" w:hAnsi="黑体" w:eastAsia="黑体"/>
                <w:snapToGrid w:val="0"/>
                <w:color w:val="auto"/>
                <w:spacing w:val="-6"/>
                <w:kern w:val="21"/>
              </w:rPr>
              <w:t>产生量）</w:t>
            </w:r>
            <w:r>
              <w:rPr>
                <w:rFonts w:ascii="黑体" w:hAnsi="黑体" w:eastAsia="黑体"/>
                <w:snapToGrid w:val="0"/>
                <w:color w:val="auto"/>
                <w:spacing w:val="-6"/>
                <w:kern w:val="21"/>
              </w:rPr>
              <w:fldChar w:fldCharType="begin"/>
            </w:r>
            <w:r>
              <w:rPr>
                <w:rFonts w:ascii="黑体" w:hAnsi="黑体" w:eastAsia="黑体"/>
                <w:snapToGrid w:val="0"/>
                <w:color w:val="auto"/>
                <w:spacing w:val="-6"/>
                <w:kern w:val="21"/>
              </w:rPr>
              <w:instrText xml:space="preserve"> = 1 \* GB3 \* MERGEFORMAT </w:instrText>
            </w:r>
            <w:r>
              <w:rPr>
                <w:rFonts w:ascii="黑体" w:hAnsi="黑体" w:eastAsia="黑体"/>
                <w:snapToGrid w:val="0"/>
                <w:color w:val="auto"/>
                <w:spacing w:val="-6"/>
                <w:kern w:val="21"/>
              </w:rPr>
              <w:fldChar w:fldCharType="separate"/>
            </w:r>
            <w:r>
              <w:rPr>
                <w:rFonts w:hint="eastAsia" w:ascii="黑体" w:hAnsi="黑体" w:eastAsia="黑体" w:cs="宋体"/>
                <w:color w:val="auto"/>
                <w:kern w:val="2"/>
              </w:rPr>
              <w:t>①</w:t>
            </w:r>
            <w:r>
              <w:rPr>
                <w:rFonts w:ascii="黑体" w:hAnsi="黑体" w:eastAsia="黑体"/>
                <w:snapToGrid w:val="0"/>
                <w:color w:val="auto"/>
                <w:spacing w:val="-6"/>
                <w:kern w:val="21"/>
              </w:rPr>
              <w:fldChar w:fldCharType="end"/>
            </w:r>
          </w:p>
        </w:tc>
        <w:tc>
          <w:tcPr>
            <w:tcW w:w="1276" w:type="dxa"/>
            <w:tcMar>
              <w:left w:w="28" w:type="dxa"/>
              <w:right w:w="28" w:type="dxa"/>
            </w:tcMar>
            <w:vAlign w:val="center"/>
          </w:tcPr>
          <w:p w14:paraId="13A50727">
            <w:pPr>
              <w:pStyle w:val="33"/>
              <w:rPr>
                <w:rFonts w:hint="eastAsia" w:ascii="黑体" w:hAnsi="黑体" w:eastAsia="黑体"/>
                <w:snapToGrid w:val="0"/>
                <w:color w:val="auto"/>
                <w:spacing w:val="-6"/>
                <w:kern w:val="21"/>
              </w:rPr>
            </w:pPr>
            <w:r>
              <w:rPr>
                <w:rFonts w:ascii="黑体" w:hAnsi="黑体" w:eastAsia="黑体"/>
                <w:snapToGrid w:val="0"/>
                <w:color w:val="auto"/>
                <w:spacing w:val="-6"/>
                <w:kern w:val="21"/>
              </w:rPr>
              <w:t>现有工程</w:t>
            </w:r>
          </w:p>
          <w:p w14:paraId="3D102601">
            <w:pPr>
              <w:pStyle w:val="33"/>
              <w:rPr>
                <w:rFonts w:hint="eastAsia" w:ascii="黑体" w:hAnsi="黑体" w:eastAsia="黑体"/>
                <w:snapToGrid w:val="0"/>
                <w:color w:val="auto"/>
                <w:spacing w:val="-6"/>
                <w:kern w:val="21"/>
              </w:rPr>
            </w:pPr>
            <w:r>
              <w:rPr>
                <w:rFonts w:ascii="黑体" w:hAnsi="黑体" w:eastAsia="黑体"/>
                <w:snapToGrid w:val="0"/>
                <w:color w:val="auto"/>
                <w:spacing w:val="-6"/>
                <w:kern w:val="21"/>
              </w:rPr>
              <w:t>许可排放量</w:t>
            </w:r>
          </w:p>
          <w:p w14:paraId="2F8ECF1A">
            <w:pPr>
              <w:pStyle w:val="33"/>
              <w:rPr>
                <w:rFonts w:hint="eastAsia" w:ascii="黑体" w:hAnsi="黑体" w:eastAsia="黑体"/>
                <w:snapToGrid w:val="0"/>
                <w:color w:val="auto"/>
                <w:spacing w:val="-6"/>
                <w:kern w:val="21"/>
              </w:rPr>
            </w:pPr>
            <w:r>
              <w:rPr>
                <w:rFonts w:ascii="黑体" w:hAnsi="黑体" w:eastAsia="黑体"/>
                <w:snapToGrid w:val="0"/>
                <w:color w:val="auto"/>
                <w:spacing w:val="-6"/>
                <w:kern w:val="21"/>
              </w:rPr>
              <w:fldChar w:fldCharType="begin"/>
            </w:r>
            <w:r>
              <w:rPr>
                <w:rFonts w:ascii="黑体" w:hAnsi="黑体" w:eastAsia="黑体"/>
                <w:snapToGrid w:val="0"/>
                <w:color w:val="auto"/>
                <w:spacing w:val="-6"/>
                <w:kern w:val="21"/>
              </w:rPr>
              <w:instrText xml:space="preserve"> = 2 \* GB3 \* MERGEFORMAT </w:instrText>
            </w:r>
            <w:r>
              <w:rPr>
                <w:rFonts w:ascii="黑体" w:hAnsi="黑体" w:eastAsia="黑体"/>
                <w:snapToGrid w:val="0"/>
                <w:color w:val="auto"/>
                <w:spacing w:val="-6"/>
                <w:kern w:val="21"/>
              </w:rPr>
              <w:fldChar w:fldCharType="separate"/>
            </w:r>
            <w:r>
              <w:rPr>
                <w:rFonts w:hint="eastAsia" w:ascii="黑体" w:hAnsi="黑体" w:eastAsia="黑体" w:cs="宋体"/>
                <w:snapToGrid w:val="0"/>
                <w:color w:val="auto"/>
                <w:spacing w:val="-6"/>
                <w:kern w:val="21"/>
              </w:rPr>
              <w:t>②</w:t>
            </w:r>
            <w:r>
              <w:rPr>
                <w:rFonts w:ascii="黑体" w:hAnsi="黑体" w:eastAsia="黑体"/>
                <w:snapToGrid w:val="0"/>
                <w:color w:val="auto"/>
                <w:spacing w:val="-6"/>
                <w:kern w:val="21"/>
              </w:rPr>
              <w:fldChar w:fldCharType="end"/>
            </w:r>
          </w:p>
        </w:tc>
        <w:tc>
          <w:tcPr>
            <w:tcW w:w="1701" w:type="dxa"/>
            <w:tcMar>
              <w:left w:w="28" w:type="dxa"/>
              <w:right w:w="28" w:type="dxa"/>
            </w:tcMar>
            <w:vAlign w:val="center"/>
          </w:tcPr>
          <w:p w14:paraId="14ABF103">
            <w:pPr>
              <w:pStyle w:val="33"/>
              <w:rPr>
                <w:rFonts w:hint="eastAsia" w:ascii="黑体" w:hAnsi="黑体" w:eastAsia="黑体"/>
                <w:snapToGrid w:val="0"/>
                <w:color w:val="auto"/>
                <w:spacing w:val="-6"/>
                <w:kern w:val="21"/>
              </w:rPr>
            </w:pPr>
            <w:r>
              <w:rPr>
                <w:rFonts w:ascii="黑体" w:hAnsi="黑体" w:eastAsia="黑体"/>
                <w:snapToGrid w:val="0"/>
                <w:color w:val="auto"/>
                <w:spacing w:val="-6"/>
                <w:kern w:val="21"/>
              </w:rPr>
              <w:t>在建工程</w:t>
            </w:r>
          </w:p>
          <w:p w14:paraId="2349CE64">
            <w:pPr>
              <w:pStyle w:val="33"/>
              <w:rPr>
                <w:rFonts w:hint="eastAsia" w:ascii="黑体" w:hAnsi="黑体" w:eastAsia="黑体"/>
                <w:snapToGrid w:val="0"/>
                <w:color w:val="auto"/>
                <w:spacing w:val="-6"/>
                <w:kern w:val="21"/>
              </w:rPr>
            </w:pPr>
            <w:r>
              <w:rPr>
                <w:rFonts w:ascii="黑体" w:hAnsi="黑体" w:eastAsia="黑体"/>
                <w:snapToGrid w:val="0"/>
                <w:color w:val="auto"/>
                <w:spacing w:val="-6"/>
                <w:kern w:val="21"/>
              </w:rPr>
              <w:t>排放量（固</w:t>
            </w:r>
            <w:r>
              <w:rPr>
                <w:rFonts w:hint="eastAsia" w:ascii="黑体" w:hAnsi="黑体" w:eastAsia="黑体"/>
                <w:snapToGrid w:val="0"/>
                <w:color w:val="auto"/>
                <w:spacing w:val="-6"/>
                <w:kern w:val="21"/>
              </w:rPr>
              <w:t>体</w:t>
            </w:r>
            <w:r>
              <w:rPr>
                <w:rFonts w:ascii="黑体" w:hAnsi="黑体" w:eastAsia="黑体"/>
                <w:snapToGrid w:val="0"/>
                <w:color w:val="auto"/>
                <w:spacing w:val="-6"/>
                <w:kern w:val="21"/>
              </w:rPr>
              <w:t>废</w:t>
            </w:r>
            <w:r>
              <w:rPr>
                <w:rFonts w:hint="eastAsia" w:ascii="黑体" w:hAnsi="黑体" w:eastAsia="黑体"/>
                <w:snapToGrid w:val="0"/>
                <w:color w:val="auto"/>
                <w:spacing w:val="-6"/>
                <w:kern w:val="21"/>
              </w:rPr>
              <w:t>物</w:t>
            </w:r>
            <w:r>
              <w:rPr>
                <w:rFonts w:ascii="黑体" w:hAnsi="黑体" w:eastAsia="黑体"/>
                <w:snapToGrid w:val="0"/>
                <w:color w:val="auto"/>
                <w:spacing w:val="-6"/>
                <w:kern w:val="21"/>
              </w:rPr>
              <w:t>产生量）</w:t>
            </w:r>
            <w:r>
              <w:rPr>
                <w:rFonts w:ascii="黑体" w:hAnsi="黑体" w:eastAsia="黑体"/>
                <w:snapToGrid w:val="0"/>
                <w:color w:val="auto"/>
                <w:spacing w:val="-6"/>
                <w:kern w:val="21"/>
              </w:rPr>
              <w:fldChar w:fldCharType="begin"/>
            </w:r>
            <w:r>
              <w:rPr>
                <w:rFonts w:ascii="黑体" w:hAnsi="黑体" w:eastAsia="黑体"/>
                <w:snapToGrid w:val="0"/>
                <w:color w:val="auto"/>
                <w:spacing w:val="-6"/>
                <w:kern w:val="21"/>
              </w:rPr>
              <w:instrText xml:space="preserve"> = 3 \* GB3 \* MERGEFORMAT </w:instrText>
            </w:r>
            <w:r>
              <w:rPr>
                <w:rFonts w:ascii="黑体" w:hAnsi="黑体" w:eastAsia="黑体"/>
                <w:snapToGrid w:val="0"/>
                <w:color w:val="auto"/>
                <w:spacing w:val="-6"/>
                <w:kern w:val="21"/>
              </w:rPr>
              <w:fldChar w:fldCharType="separate"/>
            </w:r>
            <w:r>
              <w:rPr>
                <w:rFonts w:hint="eastAsia" w:ascii="黑体" w:hAnsi="黑体" w:eastAsia="黑体" w:cs="宋体"/>
                <w:color w:val="auto"/>
                <w:kern w:val="2"/>
              </w:rPr>
              <w:t>③</w:t>
            </w:r>
            <w:r>
              <w:rPr>
                <w:rFonts w:ascii="黑体" w:hAnsi="黑体" w:eastAsia="黑体"/>
                <w:snapToGrid w:val="0"/>
                <w:color w:val="auto"/>
                <w:spacing w:val="-6"/>
                <w:kern w:val="21"/>
              </w:rPr>
              <w:fldChar w:fldCharType="end"/>
            </w:r>
          </w:p>
        </w:tc>
        <w:tc>
          <w:tcPr>
            <w:tcW w:w="1559" w:type="dxa"/>
            <w:tcMar>
              <w:left w:w="28" w:type="dxa"/>
              <w:right w:w="28" w:type="dxa"/>
            </w:tcMar>
            <w:vAlign w:val="center"/>
          </w:tcPr>
          <w:p w14:paraId="617FA50C">
            <w:pPr>
              <w:pStyle w:val="33"/>
              <w:rPr>
                <w:rFonts w:hint="eastAsia" w:ascii="黑体" w:hAnsi="黑体" w:eastAsia="黑体"/>
                <w:snapToGrid w:val="0"/>
                <w:color w:val="auto"/>
                <w:spacing w:val="-6"/>
                <w:kern w:val="21"/>
              </w:rPr>
            </w:pPr>
            <w:r>
              <w:rPr>
                <w:rFonts w:ascii="黑体" w:hAnsi="黑体" w:eastAsia="黑体"/>
                <w:snapToGrid w:val="0"/>
                <w:color w:val="auto"/>
                <w:spacing w:val="-6"/>
                <w:kern w:val="21"/>
              </w:rPr>
              <w:t>本项目</w:t>
            </w:r>
          </w:p>
          <w:p w14:paraId="78EBAB93">
            <w:pPr>
              <w:pStyle w:val="33"/>
              <w:rPr>
                <w:rFonts w:hint="eastAsia" w:ascii="黑体" w:hAnsi="黑体" w:eastAsia="黑体"/>
                <w:snapToGrid w:val="0"/>
                <w:color w:val="auto"/>
                <w:spacing w:val="-6"/>
                <w:kern w:val="21"/>
              </w:rPr>
            </w:pPr>
            <w:r>
              <w:rPr>
                <w:rFonts w:ascii="黑体" w:hAnsi="黑体" w:eastAsia="黑体"/>
                <w:snapToGrid w:val="0"/>
                <w:color w:val="auto"/>
                <w:spacing w:val="-6"/>
                <w:kern w:val="21"/>
              </w:rPr>
              <w:t>排放量（固</w:t>
            </w:r>
            <w:r>
              <w:rPr>
                <w:rFonts w:hint="eastAsia" w:ascii="黑体" w:hAnsi="黑体" w:eastAsia="黑体"/>
                <w:snapToGrid w:val="0"/>
                <w:color w:val="auto"/>
                <w:spacing w:val="-6"/>
                <w:kern w:val="21"/>
              </w:rPr>
              <w:t>体</w:t>
            </w:r>
            <w:r>
              <w:rPr>
                <w:rFonts w:ascii="黑体" w:hAnsi="黑体" w:eastAsia="黑体"/>
                <w:snapToGrid w:val="0"/>
                <w:color w:val="auto"/>
                <w:spacing w:val="-6"/>
                <w:kern w:val="21"/>
              </w:rPr>
              <w:t>废</w:t>
            </w:r>
            <w:r>
              <w:rPr>
                <w:rFonts w:hint="eastAsia" w:ascii="黑体" w:hAnsi="黑体" w:eastAsia="黑体"/>
                <w:snapToGrid w:val="0"/>
                <w:color w:val="auto"/>
                <w:spacing w:val="-6"/>
                <w:kern w:val="21"/>
              </w:rPr>
              <w:t>物</w:t>
            </w:r>
            <w:r>
              <w:rPr>
                <w:rFonts w:ascii="黑体" w:hAnsi="黑体" w:eastAsia="黑体"/>
                <w:snapToGrid w:val="0"/>
                <w:color w:val="auto"/>
                <w:spacing w:val="-6"/>
                <w:kern w:val="21"/>
              </w:rPr>
              <w:t>产生量）</w:t>
            </w:r>
            <w:r>
              <w:rPr>
                <w:rFonts w:ascii="黑体" w:hAnsi="黑体" w:eastAsia="黑体"/>
                <w:snapToGrid w:val="0"/>
                <w:color w:val="auto"/>
                <w:spacing w:val="-6"/>
                <w:kern w:val="21"/>
              </w:rPr>
              <w:fldChar w:fldCharType="begin"/>
            </w:r>
            <w:r>
              <w:rPr>
                <w:rFonts w:ascii="黑体" w:hAnsi="黑体" w:eastAsia="黑体"/>
                <w:snapToGrid w:val="0"/>
                <w:color w:val="auto"/>
                <w:spacing w:val="-6"/>
                <w:kern w:val="21"/>
              </w:rPr>
              <w:instrText xml:space="preserve"> = 4 \* GB3 \* MERGEFORMAT </w:instrText>
            </w:r>
            <w:r>
              <w:rPr>
                <w:rFonts w:ascii="黑体" w:hAnsi="黑体" w:eastAsia="黑体"/>
                <w:snapToGrid w:val="0"/>
                <w:color w:val="auto"/>
                <w:spacing w:val="-6"/>
                <w:kern w:val="21"/>
              </w:rPr>
              <w:fldChar w:fldCharType="separate"/>
            </w:r>
            <w:r>
              <w:rPr>
                <w:rFonts w:hint="eastAsia" w:ascii="黑体" w:hAnsi="黑体" w:eastAsia="黑体" w:cs="宋体"/>
                <w:color w:val="auto"/>
                <w:kern w:val="2"/>
              </w:rPr>
              <w:t>④</w:t>
            </w:r>
            <w:r>
              <w:rPr>
                <w:rFonts w:ascii="黑体" w:hAnsi="黑体" w:eastAsia="黑体"/>
                <w:snapToGrid w:val="0"/>
                <w:color w:val="auto"/>
                <w:spacing w:val="-6"/>
                <w:kern w:val="21"/>
              </w:rPr>
              <w:fldChar w:fldCharType="end"/>
            </w:r>
          </w:p>
        </w:tc>
        <w:tc>
          <w:tcPr>
            <w:tcW w:w="1761" w:type="dxa"/>
            <w:tcMar>
              <w:left w:w="28" w:type="dxa"/>
              <w:right w:w="28" w:type="dxa"/>
            </w:tcMar>
            <w:vAlign w:val="center"/>
          </w:tcPr>
          <w:p w14:paraId="04222E07">
            <w:pPr>
              <w:pStyle w:val="33"/>
              <w:rPr>
                <w:rFonts w:hint="eastAsia" w:ascii="黑体" w:hAnsi="黑体" w:eastAsia="黑体"/>
                <w:snapToGrid w:val="0"/>
                <w:color w:val="auto"/>
                <w:spacing w:val="-16"/>
                <w:kern w:val="21"/>
              </w:rPr>
            </w:pPr>
            <w:r>
              <w:rPr>
                <w:rFonts w:ascii="黑体" w:hAnsi="黑体" w:eastAsia="黑体"/>
                <w:snapToGrid w:val="0"/>
                <w:color w:val="auto"/>
                <w:spacing w:val="-16"/>
                <w:kern w:val="21"/>
              </w:rPr>
              <w:t>以新带老削减量</w:t>
            </w:r>
          </w:p>
          <w:p w14:paraId="2E4C6D54">
            <w:pPr>
              <w:pStyle w:val="33"/>
              <w:rPr>
                <w:rFonts w:hint="eastAsia" w:ascii="黑体" w:hAnsi="黑体" w:eastAsia="黑体"/>
                <w:snapToGrid w:val="0"/>
                <w:color w:val="auto"/>
                <w:spacing w:val="-16"/>
                <w:kern w:val="21"/>
              </w:rPr>
            </w:pPr>
            <w:r>
              <w:rPr>
                <w:rFonts w:ascii="黑体" w:hAnsi="黑体" w:eastAsia="黑体"/>
                <w:snapToGrid w:val="0"/>
                <w:color w:val="auto"/>
                <w:spacing w:val="-16"/>
                <w:kern w:val="21"/>
              </w:rPr>
              <w:t>（新建项目不填）</w:t>
            </w:r>
            <w:r>
              <w:rPr>
                <w:rFonts w:ascii="黑体" w:hAnsi="黑体" w:eastAsia="黑体"/>
                <w:snapToGrid w:val="0"/>
                <w:color w:val="auto"/>
                <w:spacing w:val="-16"/>
                <w:kern w:val="21"/>
              </w:rPr>
              <w:fldChar w:fldCharType="begin"/>
            </w:r>
            <w:r>
              <w:rPr>
                <w:rFonts w:ascii="黑体" w:hAnsi="黑体" w:eastAsia="黑体"/>
                <w:snapToGrid w:val="0"/>
                <w:color w:val="auto"/>
                <w:spacing w:val="-16"/>
                <w:kern w:val="21"/>
              </w:rPr>
              <w:instrText xml:space="preserve"> = 5 \* GB3 \* MERGEFORMAT </w:instrText>
            </w:r>
            <w:r>
              <w:rPr>
                <w:rFonts w:ascii="黑体" w:hAnsi="黑体" w:eastAsia="黑体"/>
                <w:snapToGrid w:val="0"/>
                <w:color w:val="auto"/>
                <w:spacing w:val="-16"/>
                <w:kern w:val="21"/>
              </w:rPr>
              <w:fldChar w:fldCharType="separate"/>
            </w:r>
            <w:r>
              <w:rPr>
                <w:rFonts w:hint="eastAsia" w:ascii="黑体" w:hAnsi="黑体" w:eastAsia="黑体" w:cs="宋体"/>
                <w:color w:val="auto"/>
                <w:kern w:val="2"/>
              </w:rPr>
              <w:t>⑤</w:t>
            </w:r>
            <w:r>
              <w:rPr>
                <w:rFonts w:ascii="黑体" w:hAnsi="黑体" w:eastAsia="黑体"/>
                <w:snapToGrid w:val="0"/>
                <w:color w:val="auto"/>
                <w:spacing w:val="-16"/>
                <w:kern w:val="21"/>
              </w:rPr>
              <w:fldChar w:fldCharType="end"/>
            </w:r>
          </w:p>
        </w:tc>
        <w:tc>
          <w:tcPr>
            <w:tcW w:w="1521" w:type="dxa"/>
            <w:tcMar>
              <w:left w:w="28" w:type="dxa"/>
              <w:right w:w="28" w:type="dxa"/>
            </w:tcMar>
            <w:vAlign w:val="center"/>
          </w:tcPr>
          <w:p w14:paraId="450AFE7D">
            <w:pPr>
              <w:pStyle w:val="33"/>
              <w:rPr>
                <w:rFonts w:hint="eastAsia" w:ascii="黑体" w:hAnsi="黑体" w:eastAsia="黑体"/>
                <w:snapToGrid w:val="0"/>
                <w:color w:val="auto"/>
                <w:spacing w:val="-16"/>
                <w:kern w:val="21"/>
              </w:rPr>
            </w:pPr>
            <w:r>
              <w:rPr>
                <w:rFonts w:ascii="黑体" w:hAnsi="黑体" w:eastAsia="黑体"/>
                <w:snapToGrid w:val="0"/>
                <w:color w:val="auto"/>
                <w:spacing w:val="-16"/>
                <w:kern w:val="21"/>
              </w:rPr>
              <w:t>本项目建成后</w:t>
            </w:r>
          </w:p>
          <w:p w14:paraId="51D1EC7B">
            <w:pPr>
              <w:pStyle w:val="33"/>
              <w:rPr>
                <w:rFonts w:hint="eastAsia" w:ascii="黑体" w:hAnsi="黑体" w:eastAsia="黑体"/>
                <w:snapToGrid w:val="0"/>
                <w:color w:val="auto"/>
                <w:spacing w:val="-16"/>
                <w:kern w:val="21"/>
              </w:rPr>
            </w:pPr>
            <w:r>
              <w:rPr>
                <w:rFonts w:hint="eastAsia" w:ascii="黑体" w:hAnsi="黑体" w:eastAsia="黑体"/>
                <w:snapToGrid w:val="0"/>
                <w:color w:val="auto"/>
                <w:spacing w:val="-16"/>
                <w:kern w:val="21"/>
              </w:rPr>
              <w:t>全厂</w:t>
            </w:r>
            <w:r>
              <w:rPr>
                <w:rFonts w:ascii="黑体" w:hAnsi="黑体" w:eastAsia="黑体"/>
                <w:snapToGrid w:val="0"/>
                <w:color w:val="auto"/>
                <w:spacing w:val="-16"/>
                <w:kern w:val="21"/>
              </w:rPr>
              <w:t>排放量（固</w:t>
            </w:r>
            <w:r>
              <w:rPr>
                <w:rFonts w:hint="eastAsia" w:ascii="黑体" w:hAnsi="黑体" w:eastAsia="黑体"/>
                <w:snapToGrid w:val="0"/>
                <w:color w:val="auto"/>
                <w:spacing w:val="-16"/>
                <w:kern w:val="21"/>
              </w:rPr>
              <w:t>体</w:t>
            </w:r>
            <w:r>
              <w:rPr>
                <w:rFonts w:ascii="黑体" w:hAnsi="黑体" w:eastAsia="黑体"/>
                <w:snapToGrid w:val="0"/>
                <w:color w:val="auto"/>
                <w:spacing w:val="-16"/>
                <w:kern w:val="21"/>
              </w:rPr>
              <w:t>废</w:t>
            </w:r>
            <w:r>
              <w:rPr>
                <w:rFonts w:hint="eastAsia" w:ascii="黑体" w:hAnsi="黑体" w:eastAsia="黑体"/>
                <w:snapToGrid w:val="0"/>
                <w:color w:val="auto"/>
                <w:spacing w:val="-16"/>
                <w:kern w:val="21"/>
              </w:rPr>
              <w:t>物</w:t>
            </w:r>
            <w:r>
              <w:rPr>
                <w:rFonts w:ascii="黑体" w:hAnsi="黑体" w:eastAsia="黑体"/>
                <w:snapToGrid w:val="0"/>
                <w:color w:val="auto"/>
                <w:spacing w:val="-16"/>
                <w:kern w:val="21"/>
              </w:rPr>
              <w:t>产生量）</w:t>
            </w:r>
            <w:r>
              <w:rPr>
                <w:rFonts w:ascii="黑体" w:hAnsi="黑体" w:eastAsia="黑体"/>
                <w:snapToGrid w:val="0"/>
                <w:color w:val="auto"/>
                <w:spacing w:val="-16"/>
                <w:kern w:val="21"/>
              </w:rPr>
              <w:fldChar w:fldCharType="begin"/>
            </w:r>
            <w:r>
              <w:rPr>
                <w:rFonts w:ascii="黑体" w:hAnsi="黑体" w:eastAsia="黑体"/>
                <w:snapToGrid w:val="0"/>
                <w:color w:val="auto"/>
                <w:spacing w:val="-16"/>
                <w:kern w:val="21"/>
              </w:rPr>
              <w:instrText xml:space="preserve"> = 6 \* GB3 \* MERGEFORMAT </w:instrText>
            </w:r>
            <w:r>
              <w:rPr>
                <w:rFonts w:ascii="黑体" w:hAnsi="黑体" w:eastAsia="黑体"/>
                <w:snapToGrid w:val="0"/>
                <w:color w:val="auto"/>
                <w:spacing w:val="-16"/>
                <w:kern w:val="21"/>
              </w:rPr>
              <w:fldChar w:fldCharType="separate"/>
            </w:r>
            <w:r>
              <w:rPr>
                <w:rFonts w:hint="eastAsia" w:ascii="黑体" w:hAnsi="黑体" w:eastAsia="黑体" w:cs="宋体"/>
                <w:color w:val="auto"/>
                <w:kern w:val="2"/>
              </w:rPr>
              <w:t>⑥</w:t>
            </w:r>
            <w:r>
              <w:rPr>
                <w:rFonts w:ascii="黑体" w:hAnsi="黑体" w:eastAsia="黑体"/>
                <w:snapToGrid w:val="0"/>
                <w:color w:val="auto"/>
                <w:spacing w:val="-16"/>
                <w:kern w:val="21"/>
              </w:rPr>
              <w:fldChar w:fldCharType="end"/>
            </w:r>
          </w:p>
        </w:tc>
        <w:tc>
          <w:tcPr>
            <w:tcW w:w="1264" w:type="dxa"/>
            <w:tcMar>
              <w:left w:w="28" w:type="dxa"/>
              <w:right w:w="28" w:type="dxa"/>
            </w:tcMar>
            <w:vAlign w:val="center"/>
          </w:tcPr>
          <w:p w14:paraId="7D6A1A2C">
            <w:pPr>
              <w:pStyle w:val="33"/>
              <w:rPr>
                <w:rFonts w:hint="eastAsia" w:ascii="黑体" w:hAnsi="黑体" w:eastAsia="黑体"/>
                <w:snapToGrid w:val="0"/>
                <w:color w:val="auto"/>
                <w:spacing w:val="-6"/>
                <w:kern w:val="21"/>
              </w:rPr>
            </w:pPr>
            <w:r>
              <w:rPr>
                <w:rFonts w:ascii="黑体" w:hAnsi="黑体" w:eastAsia="黑体"/>
                <w:snapToGrid w:val="0"/>
                <w:color w:val="auto"/>
                <w:spacing w:val="-6"/>
                <w:kern w:val="21"/>
              </w:rPr>
              <w:t>变化量</w:t>
            </w:r>
          </w:p>
          <w:p w14:paraId="6A7B14F9">
            <w:pPr>
              <w:pStyle w:val="33"/>
              <w:rPr>
                <w:rFonts w:hint="eastAsia" w:ascii="黑体" w:hAnsi="黑体" w:eastAsia="黑体"/>
                <w:snapToGrid w:val="0"/>
                <w:color w:val="auto"/>
                <w:spacing w:val="-6"/>
                <w:kern w:val="21"/>
              </w:rPr>
            </w:pPr>
            <w:r>
              <w:rPr>
                <w:rFonts w:ascii="黑体" w:hAnsi="黑体" w:eastAsia="黑体"/>
                <w:snapToGrid w:val="0"/>
                <w:color w:val="auto"/>
                <w:spacing w:val="-6"/>
                <w:kern w:val="21"/>
              </w:rPr>
              <w:fldChar w:fldCharType="begin"/>
            </w:r>
            <w:r>
              <w:rPr>
                <w:rFonts w:ascii="黑体" w:hAnsi="黑体" w:eastAsia="黑体"/>
                <w:snapToGrid w:val="0"/>
                <w:color w:val="auto"/>
                <w:spacing w:val="-6"/>
                <w:kern w:val="21"/>
              </w:rPr>
              <w:instrText xml:space="preserve"> = 7 \* GB3 \* MERGEFORMAT </w:instrText>
            </w:r>
            <w:r>
              <w:rPr>
                <w:rFonts w:ascii="黑体" w:hAnsi="黑体" w:eastAsia="黑体"/>
                <w:snapToGrid w:val="0"/>
                <w:color w:val="auto"/>
                <w:spacing w:val="-6"/>
                <w:kern w:val="21"/>
              </w:rPr>
              <w:fldChar w:fldCharType="separate"/>
            </w:r>
            <w:r>
              <w:rPr>
                <w:rFonts w:hint="eastAsia" w:ascii="黑体" w:hAnsi="黑体" w:eastAsia="黑体" w:cs="宋体"/>
                <w:color w:val="auto"/>
                <w:kern w:val="2"/>
              </w:rPr>
              <w:t>⑦</w:t>
            </w:r>
            <w:r>
              <w:rPr>
                <w:rFonts w:ascii="黑体" w:hAnsi="黑体" w:eastAsia="黑体"/>
                <w:snapToGrid w:val="0"/>
                <w:color w:val="auto"/>
                <w:spacing w:val="-6"/>
                <w:kern w:val="21"/>
              </w:rPr>
              <w:fldChar w:fldCharType="end"/>
            </w:r>
          </w:p>
        </w:tc>
      </w:tr>
      <w:tr w14:paraId="6D96F2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58636CB0">
            <w:pPr>
              <w:pStyle w:val="33"/>
              <w:rPr>
                <w:rFonts w:hint="eastAsia" w:hAnsi="宋体" w:cs="宋体"/>
                <w:snapToGrid w:val="0"/>
                <w:color w:val="auto"/>
                <w:kern w:val="21"/>
              </w:rPr>
            </w:pPr>
            <w:r>
              <w:rPr>
                <w:rFonts w:hint="eastAsia" w:hAnsi="宋体" w:cs="宋体"/>
                <w:snapToGrid w:val="0"/>
                <w:color w:val="auto"/>
                <w:kern w:val="21"/>
              </w:rPr>
              <w:t>废气</w:t>
            </w:r>
          </w:p>
        </w:tc>
        <w:tc>
          <w:tcPr>
            <w:tcW w:w="1417" w:type="dxa"/>
            <w:vAlign w:val="center"/>
          </w:tcPr>
          <w:p w14:paraId="794D75A0">
            <w:pPr>
              <w:pStyle w:val="33"/>
              <w:rPr>
                <w:rFonts w:hint="eastAsia" w:hAnsi="宋体" w:cs="宋体"/>
                <w:snapToGrid w:val="0"/>
                <w:color w:val="auto"/>
                <w:kern w:val="21"/>
              </w:rPr>
            </w:pPr>
            <w:r>
              <w:rPr>
                <w:rFonts w:hAnsi="宋体" w:cs="宋体"/>
                <w:snapToGrid w:val="0"/>
                <w:color w:val="auto"/>
                <w:kern w:val="21"/>
              </w:rPr>
              <w:t>SO</w:t>
            </w:r>
            <w:r>
              <w:rPr>
                <w:rFonts w:hint="eastAsia" w:hAnsi="宋体" w:cs="宋体"/>
                <w:snapToGrid w:val="0"/>
                <w:color w:val="auto"/>
                <w:kern w:val="21"/>
                <w:vertAlign w:val="subscript"/>
              </w:rPr>
              <w:t>2</w:t>
            </w:r>
          </w:p>
        </w:tc>
        <w:tc>
          <w:tcPr>
            <w:tcW w:w="1701" w:type="dxa"/>
            <w:vAlign w:val="center"/>
          </w:tcPr>
          <w:p w14:paraId="2BA6653A">
            <w:pPr>
              <w:pStyle w:val="33"/>
              <w:rPr>
                <w:rFonts w:hint="eastAsia" w:hAnsi="宋体" w:cs="宋体"/>
                <w:snapToGrid w:val="0"/>
                <w:color w:val="auto"/>
                <w:kern w:val="21"/>
              </w:rPr>
            </w:pPr>
            <w:r>
              <w:rPr>
                <w:rFonts w:hint="eastAsia" w:hAnsi="宋体" w:cs="宋体"/>
                <w:snapToGrid w:val="0"/>
                <w:color w:val="auto"/>
                <w:kern w:val="21"/>
              </w:rPr>
              <w:t>/</w:t>
            </w:r>
          </w:p>
        </w:tc>
        <w:tc>
          <w:tcPr>
            <w:tcW w:w="1276" w:type="dxa"/>
            <w:shd w:val="clear" w:color="auto" w:fill="auto"/>
            <w:vAlign w:val="center"/>
          </w:tcPr>
          <w:p w14:paraId="29861D57">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rPr>
              <w:t>/</w:t>
            </w:r>
          </w:p>
        </w:tc>
        <w:tc>
          <w:tcPr>
            <w:tcW w:w="1701" w:type="dxa"/>
            <w:shd w:val="clear" w:color="auto" w:fill="auto"/>
            <w:vAlign w:val="center"/>
          </w:tcPr>
          <w:p w14:paraId="19206016">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rPr>
              <w:t>/</w:t>
            </w:r>
          </w:p>
        </w:tc>
        <w:tc>
          <w:tcPr>
            <w:tcW w:w="1559" w:type="dxa"/>
            <w:vAlign w:val="center"/>
          </w:tcPr>
          <w:p w14:paraId="0A12D86E">
            <w:pPr>
              <w:pStyle w:val="33"/>
              <w:rPr>
                <w:rFonts w:hint="default" w:hAnsi="宋体" w:eastAsia="宋体" w:cs="宋体"/>
                <w:snapToGrid w:val="0"/>
                <w:color w:val="auto"/>
                <w:kern w:val="21"/>
                <w:lang w:val="en-US" w:eastAsia="zh-CN"/>
              </w:rPr>
            </w:pPr>
            <w:r>
              <w:rPr>
                <w:rFonts w:hint="eastAsia" w:hAnsi="宋体" w:cs="宋体"/>
                <w:snapToGrid w:val="0"/>
                <w:color w:val="auto"/>
                <w:kern w:val="21"/>
              </w:rPr>
              <w:t>0.00</w:t>
            </w:r>
            <w:r>
              <w:rPr>
                <w:rFonts w:hint="eastAsia" w:hAnsi="宋体" w:cs="宋体"/>
                <w:snapToGrid w:val="0"/>
                <w:color w:val="auto"/>
                <w:kern w:val="21"/>
                <w:lang w:val="en-US" w:eastAsia="zh-CN"/>
              </w:rPr>
              <w:t>078</w:t>
            </w:r>
          </w:p>
        </w:tc>
        <w:tc>
          <w:tcPr>
            <w:tcW w:w="1761" w:type="dxa"/>
            <w:shd w:val="clear" w:color="auto" w:fill="auto"/>
            <w:vAlign w:val="center"/>
          </w:tcPr>
          <w:p w14:paraId="10059C6D">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rPr>
              <w:t>/</w:t>
            </w:r>
          </w:p>
        </w:tc>
        <w:tc>
          <w:tcPr>
            <w:tcW w:w="1521" w:type="dxa"/>
            <w:vAlign w:val="center"/>
          </w:tcPr>
          <w:p w14:paraId="424EB85F">
            <w:pPr>
              <w:pStyle w:val="33"/>
              <w:ind w:firstLine="0" w:firstLineChars="0"/>
              <w:rPr>
                <w:rFonts w:hint="eastAsia" w:hAnsi="宋体" w:cs="宋体"/>
                <w:snapToGrid w:val="0"/>
                <w:color w:val="auto"/>
                <w:kern w:val="21"/>
              </w:rPr>
            </w:pPr>
            <w:r>
              <w:rPr>
                <w:rFonts w:hint="eastAsia" w:hAnsi="宋体" w:cs="宋体"/>
                <w:snapToGrid w:val="0"/>
                <w:color w:val="auto"/>
                <w:kern w:val="21"/>
              </w:rPr>
              <w:t>0.00</w:t>
            </w:r>
            <w:r>
              <w:rPr>
                <w:rFonts w:hint="eastAsia" w:hAnsi="宋体" w:cs="宋体"/>
                <w:snapToGrid w:val="0"/>
                <w:color w:val="auto"/>
                <w:kern w:val="21"/>
                <w:lang w:val="en-US" w:eastAsia="zh-CN"/>
              </w:rPr>
              <w:t>078</w:t>
            </w:r>
          </w:p>
        </w:tc>
        <w:tc>
          <w:tcPr>
            <w:tcW w:w="1264" w:type="dxa"/>
            <w:vAlign w:val="center"/>
          </w:tcPr>
          <w:p w14:paraId="6103E5E2">
            <w:pPr>
              <w:pStyle w:val="33"/>
              <w:ind w:firstLine="0" w:firstLineChars="0"/>
              <w:rPr>
                <w:rFonts w:hint="eastAsia" w:hAnsi="宋体" w:cs="宋体"/>
                <w:snapToGrid w:val="0"/>
                <w:color w:val="auto"/>
                <w:kern w:val="21"/>
              </w:rPr>
            </w:pPr>
            <w:r>
              <w:rPr>
                <w:rFonts w:hint="eastAsia" w:hAnsi="宋体" w:cs="宋体"/>
                <w:snapToGrid w:val="0"/>
                <w:color w:val="auto"/>
                <w:kern w:val="21"/>
                <w:lang w:val="en-US" w:eastAsia="zh-CN"/>
              </w:rPr>
              <w:t>+</w:t>
            </w:r>
            <w:r>
              <w:rPr>
                <w:rFonts w:hint="eastAsia" w:hAnsi="宋体" w:cs="宋体"/>
                <w:snapToGrid w:val="0"/>
                <w:color w:val="auto"/>
                <w:kern w:val="21"/>
              </w:rPr>
              <w:t>0.00</w:t>
            </w:r>
            <w:r>
              <w:rPr>
                <w:rFonts w:hint="eastAsia" w:hAnsi="宋体" w:cs="宋体"/>
                <w:snapToGrid w:val="0"/>
                <w:color w:val="auto"/>
                <w:kern w:val="21"/>
                <w:lang w:val="en-US" w:eastAsia="zh-CN"/>
              </w:rPr>
              <w:t>078</w:t>
            </w:r>
          </w:p>
        </w:tc>
      </w:tr>
      <w:tr w14:paraId="062B03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52F465E4">
            <w:pPr>
              <w:pStyle w:val="33"/>
              <w:rPr>
                <w:rFonts w:hint="eastAsia" w:hAnsi="宋体" w:cs="宋体"/>
                <w:snapToGrid w:val="0"/>
                <w:color w:val="auto"/>
                <w:kern w:val="21"/>
              </w:rPr>
            </w:pPr>
          </w:p>
        </w:tc>
        <w:tc>
          <w:tcPr>
            <w:tcW w:w="1417" w:type="dxa"/>
            <w:vAlign w:val="center"/>
          </w:tcPr>
          <w:p w14:paraId="04F5CC73">
            <w:pPr>
              <w:pStyle w:val="33"/>
              <w:rPr>
                <w:rFonts w:hint="eastAsia" w:hAnsi="宋体" w:cs="宋体"/>
                <w:snapToGrid w:val="0"/>
                <w:color w:val="auto"/>
                <w:kern w:val="21"/>
              </w:rPr>
            </w:pPr>
            <w:r>
              <w:rPr>
                <w:rFonts w:hAnsi="宋体" w:cs="宋体"/>
                <w:snapToGrid w:val="0"/>
                <w:color w:val="auto"/>
                <w:kern w:val="21"/>
              </w:rPr>
              <w:t>NOx</w:t>
            </w:r>
          </w:p>
        </w:tc>
        <w:tc>
          <w:tcPr>
            <w:tcW w:w="1701" w:type="dxa"/>
            <w:vAlign w:val="center"/>
          </w:tcPr>
          <w:p w14:paraId="64B10B7A">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77122DE5">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0F779D96">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7AE52C7A">
            <w:pPr>
              <w:pStyle w:val="33"/>
              <w:rPr>
                <w:rFonts w:hint="default" w:hAnsi="宋体" w:eastAsia="宋体" w:cs="宋体"/>
                <w:snapToGrid w:val="0"/>
                <w:color w:val="auto"/>
                <w:kern w:val="21"/>
                <w:lang w:val="en-US" w:eastAsia="zh-CN"/>
              </w:rPr>
            </w:pPr>
            <w:r>
              <w:rPr>
                <w:rFonts w:hint="eastAsia" w:hAnsi="宋体" w:cs="宋体"/>
                <w:snapToGrid w:val="0"/>
                <w:color w:val="auto"/>
                <w:kern w:val="21"/>
              </w:rPr>
              <w:t>0.0</w:t>
            </w:r>
            <w:r>
              <w:rPr>
                <w:rFonts w:hint="eastAsia" w:hAnsi="宋体" w:cs="宋体"/>
                <w:snapToGrid w:val="0"/>
                <w:color w:val="auto"/>
                <w:kern w:val="21"/>
                <w:lang w:val="en-US" w:eastAsia="zh-CN"/>
              </w:rPr>
              <w:t>070</w:t>
            </w:r>
          </w:p>
        </w:tc>
        <w:tc>
          <w:tcPr>
            <w:tcW w:w="1761" w:type="dxa"/>
            <w:shd w:val="clear" w:color="auto" w:fill="auto"/>
            <w:vAlign w:val="center"/>
          </w:tcPr>
          <w:p w14:paraId="44E82BDF">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19E7E50D">
            <w:pPr>
              <w:pStyle w:val="33"/>
              <w:ind w:firstLine="0" w:firstLineChars="0"/>
              <w:rPr>
                <w:rFonts w:hint="eastAsia" w:hAnsi="宋体" w:cs="宋体"/>
                <w:snapToGrid w:val="0"/>
                <w:color w:val="auto"/>
                <w:kern w:val="21"/>
              </w:rPr>
            </w:pPr>
            <w:r>
              <w:rPr>
                <w:rFonts w:hint="eastAsia" w:hAnsi="宋体" w:cs="宋体"/>
                <w:snapToGrid w:val="0"/>
                <w:color w:val="auto"/>
                <w:kern w:val="21"/>
              </w:rPr>
              <w:t>0.0</w:t>
            </w:r>
            <w:r>
              <w:rPr>
                <w:rFonts w:hint="eastAsia" w:hAnsi="宋体" w:cs="宋体"/>
                <w:snapToGrid w:val="0"/>
                <w:color w:val="auto"/>
                <w:kern w:val="21"/>
                <w:lang w:val="en-US" w:eastAsia="zh-CN"/>
              </w:rPr>
              <w:t>070</w:t>
            </w:r>
          </w:p>
        </w:tc>
        <w:tc>
          <w:tcPr>
            <w:tcW w:w="1264" w:type="dxa"/>
            <w:vAlign w:val="center"/>
          </w:tcPr>
          <w:p w14:paraId="704AF1CC">
            <w:pPr>
              <w:pStyle w:val="33"/>
              <w:ind w:firstLine="0" w:firstLineChars="0"/>
              <w:rPr>
                <w:rFonts w:hint="eastAsia" w:hAnsi="宋体" w:cs="宋体"/>
                <w:snapToGrid w:val="0"/>
                <w:color w:val="auto"/>
                <w:kern w:val="21"/>
              </w:rPr>
            </w:pPr>
            <w:r>
              <w:rPr>
                <w:rFonts w:hint="eastAsia" w:hAnsi="宋体" w:cs="宋体"/>
                <w:snapToGrid w:val="0"/>
                <w:color w:val="auto"/>
                <w:kern w:val="21"/>
                <w:lang w:val="en-US" w:eastAsia="zh-CN"/>
              </w:rPr>
              <w:t>+</w:t>
            </w:r>
            <w:r>
              <w:rPr>
                <w:rFonts w:hint="eastAsia" w:hAnsi="宋体" w:cs="宋体"/>
                <w:snapToGrid w:val="0"/>
                <w:color w:val="auto"/>
                <w:kern w:val="21"/>
              </w:rPr>
              <w:t>0.0</w:t>
            </w:r>
            <w:r>
              <w:rPr>
                <w:rFonts w:hint="eastAsia" w:hAnsi="宋体" w:cs="宋体"/>
                <w:snapToGrid w:val="0"/>
                <w:color w:val="auto"/>
                <w:kern w:val="21"/>
                <w:lang w:val="en-US" w:eastAsia="zh-CN"/>
              </w:rPr>
              <w:t>070</w:t>
            </w:r>
          </w:p>
        </w:tc>
      </w:tr>
      <w:tr w14:paraId="796996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3B2A022E">
            <w:pPr>
              <w:pStyle w:val="33"/>
              <w:rPr>
                <w:rFonts w:hint="eastAsia" w:hAnsi="宋体" w:cs="宋体"/>
                <w:snapToGrid w:val="0"/>
                <w:color w:val="auto"/>
                <w:kern w:val="21"/>
              </w:rPr>
            </w:pPr>
          </w:p>
        </w:tc>
        <w:tc>
          <w:tcPr>
            <w:tcW w:w="1417" w:type="dxa"/>
            <w:vAlign w:val="center"/>
          </w:tcPr>
          <w:p w14:paraId="55A25F73">
            <w:pPr>
              <w:pStyle w:val="33"/>
              <w:rPr>
                <w:rFonts w:hint="eastAsia" w:hAnsi="宋体" w:cs="宋体"/>
                <w:snapToGrid w:val="0"/>
                <w:color w:val="auto"/>
                <w:kern w:val="21"/>
              </w:rPr>
            </w:pPr>
            <w:r>
              <w:rPr>
                <w:rFonts w:hAnsi="宋体" w:cs="宋体"/>
                <w:snapToGrid w:val="0"/>
                <w:color w:val="auto"/>
                <w:kern w:val="21"/>
              </w:rPr>
              <w:t>颗粒物</w:t>
            </w:r>
          </w:p>
        </w:tc>
        <w:tc>
          <w:tcPr>
            <w:tcW w:w="1701" w:type="dxa"/>
            <w:vAlign w:val="center"/>
          </w:tcPr>
          <w:p w14:paraId="51349638">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6973BB35">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17E1CA6E">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4C1FA032">
            <w:pPr>
              <w:pStyle w:val="33"/>
              <w:rPr>
                <w:rFonts w:hint="default" w:hAnsi="宋体" w:eastAsia="宋体" w:cs="宋体"/>
                <w:snapToGrid w:val="0"/>
                <w:color w:val="auto"/>
                <w:kern w:val="21"/>
                <w:lang w:val="en-US" w:eastAsia="zh-CN"/>
              </w:rPr>
            </w:pPr>
            <w:r>
              <w:rPr>
                <w:rFonts w:hint="eastAsia" w:hAnsi="宋体" w:cs="宋体"/>
                <w:snapToGrid w:val="0"/>
                <w:color w:val="auto"/>
                <w:kern w:val="21"/>
              </w:rPr>
              <w:t>0.00</w:t>
            </w:r>
            <w:r>
              <w:rPr>
                <w:rFonts w:hint="eastAsia" w:hAnsi="宋体" w:cs="宋体"/>
                <w:snapToGrid w:val="0"/>
                <w:color w:val="auto"/>
                <w:kern w:val="21"/>
                <w:lang w:val="en-US" w:eastAsia="zh-CN"/>
              </w:rPr>
              <w:t>161</w:t>
            </w:r>
          </w:p>
        </w:tc>
        <w:tc>
          <w:tcPr>
            <w:tcW w:w="1761" w:type="dxa"/>
            <w:shd w:val="clear" w:color="auto" w:fill="auto"/>
            <w:vAlign w:val="center"/>
          </w:tcPr>
          <w:p w14:paraId="74518DE1">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77BCEA45">
            <w:pPr>
              <w:pStyle w:val="33"/>
              <w:ind w:firstLine="0" w:firstLineChars="0"/>
              <w:rPr>
                <w:rFonts w:hint="eastAsia" w:hAnsi="宋体" w:cs="宋体"/>
                <w:snapToGrid w:val="0"/>
                <w:color w:val="auto"/>
                <w:kern w:val="21"/>
              </w:rPr>
            </w:pPr>
            <w:r>
              <w:rPr>
                <w:rFonts w:hint="eastAsia" w:hAnsi="宋体" w:cs="宋体"/>
                <w:snapToGrid w:val="0"/>
                <w:color w:val="auto"/>
                <w:kern w:val="21"/>
              </w:rPr>
              <w:t>0.00</w:t>
            </w:r>
            <w:r>
              <w:rPr>
                <w:rFonts w:hint="eastAsia" w:hAnsi="宋体" w:cs="宋体"/>
                <w:snapToGrid w:val="0"/>
                <w:color w:val="auto"/>
                <w:kern w:val="21"/>
                <w:lang w:val="en-US" w:eastAsia="zh-CN"/>
              </w:rPr>
              <w:t>161</w:t>
            </w:r>
          </w:p>
        </w:tc>
        <w:tc>
          <w:tcPr>
            <w:tcW w:w="1264" w:type="dxa"/>
            <w:vAlign w:val="center"/>
          </w:tcPr>
          <w:p w14:paraId="25744AE2">
            <w:pPr>
              <w:pStyle w:val="33"/>
              <w:ind w:firstLine="0" w:firstLineChars="0"/>
              <w:rPr>
                <w:rFonts w:hint="eastAsia" w:hAnsi="宋体" w:cs="宋体"/>
                <w:snapToGrid w:val="0"/>
                <w:color w:val="auto"/>
                <w:kern w:val="21"/>
              </w:rPr>
            </w:pPr>
            <w:r>
              <w:rPr>
                <w:rFonts w:hint="eastAsia" w:hAnsi="宋体" w:cs="宋体"/>
                <w:snapToGrid w:val="0"/>
                <w:color w:val="auto"/>
                <w:kern w:val="21"/>
                <w:lang w:val="en-US" w:eastAsia="zh-CN"/>
              </w:rPr>
              <w:t>+</w:t>
            </w:r>
            <w:r>
              <w:rPr>
                <w:rFonts w:hint="eastAsia" w:hAnsi="宋体" w:cs="宋体"/>
                <w:snapToGrid w:val="0"/>
                <w:color w:val="auto"/>
                <w:kern w:val="21"/>
              </w:rPr>
              <w:t>0.00</w:t>
            </w:r>
            <w:r>
              <w:rPr>
                <w:rFonts w:hint="eastAsia" w:hAnsi="宋体" w:cs="宋体"/>
                <w:snapToGrid w:val="0"/>
                <w:color w:val="auto"/>
                <w:kern w:val="21"/>
                <w:lang w:val="en-US" w:eastAsia="zh-CN"/>
              </w:rPr>
              <w:t>161</w:t>
            </w:r>
          </w:p>
        </w:tc>
      </w:tr>
      <w:tr w14:paraId="0811B1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62C509E9">
            <w:pPr>
              <w:pStyle w:val="33"/>
              <w:rPr>
                <w:rFonts w:hint="eastAsia" w:hAnsi="宋体" w:cs="宋体"/>
                <w:snapToGrid w:val="0"/>
                <w:color w:val="auto"/>
                <w:kern w:val="21"/>
              </w:rPr>
            </w:pPr>
          </w:p>
        </w:tc>
        <w:tc>
          <w:tcPr>
            <w:tcW w:w="1417" w:type="dxa"/>
            <w:vAlign w:val="center"/>
          </w:tcPr>
          <w:p w14:paraId="3C1A250F">
            <w:pPr>
              <w:pStyle w:val="33"/>
              <w:rPr>
                <w:rFonts w:hint="eastAsia" w:hAnsi="宋体" w:cs="宋体"/>
                <w:snapToGrid w:val="0"/>
                <w:color w:val="auto"/>
                <w:kern w:val="21"/>
              </w:rPr>
            </w:pPr>
            <w:r>
              <w:rPr>
                <w:rFonts w:hint="eastAsia" w:hAnsi="宋体" w:cs="宋体"/>
                <w:snapToGrid w:val="0"/>
                <w:color w:val="auto"/>
                <w:kern w:val="21"/>
              </w:rPr>
              <w:t>油烟</w:t>
            </w:r>
          </w:p>
        </w:tc>
        <w:tc>
          <w:tcPr>
            <w:tcW w:w="1701" w:type="dxa"/>
            <w:vAlign w:val="center"/>
          </w:tcPr>
          <w:p w14:paraId="520C7C20">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4402C2FF">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38FF95A4">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401C88B9">
            <w:pPr>
              <w:pStyle w:val="33"/>
              <w:rPr>
                <w:rFonts w:hint="default" w:hAnsi="宋体" w:eastAsia="宋体" w:cs="宋体"/>
                <w:snapToGrid w:val="0"/>
                <w:color w:val="auto"/>
                <w:kern w:val="21"/>
                <w:lang w:val="en-US" w:eastAsia="zh-CN"/>
              </w:rPr>
            </w:pPr>
            <w:r>
              <w:rPr>
                <w:rFonts w:hint="eastAsia" w:hAnsi="宋体" w:cs="宋体"/>
                <w:snapToGrid w:val="0"/>
                <w:color w:val="auto"/>
                <w:kern w:val="21"/>
                <w:lang w:val="en-US" w:eastAsia="zh-CN"/>
              </w:rPr>
              <w:t>0.0374</w:t>
            </w:r>
          </w:p>
        </w:tc>
        <w:tc>
          <w:tcPr>
            <w:tcW w:w="1761" w:type="dxa"/>
            <w:shd w:val="clear" w:color="auto" w:fill="auto"/>
            <w:vAlign w:val="center"/>
          </w:tcPr>
          <w:p w14:paraId="21B5FA60">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5D52EE32">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0.0374</w:t>
            </w:r>
          </w:p>
        </w:tc>
        <w:tc>
          <w:tcPr>
            <w:tcW w:w="1264" w:type="dxa"/>
            <w:vAlign w:val="center"/>
          </w:tcPr>
          <w:p w14:paraId="5188CC47">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+0.0374</w:t>
            </w:r>
          </w:p>
        </w:tc>
      </w:tr>
      <w:tr w14:paraId="75DAD1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29C0852D">
            <w:pPr>
              <w:pStyle w:val="33"/>
              <w:rPr>
                <w:rFonts w:hint="eastAsia" w:hAnsi="宋体" w:cs="宋体"/>
                <w:snapToGrid w:val="0"/>
                <w:color w:val="auto"/>
                <w:kern w:val="21"/>
              </w:rPr>
            </w:pPr>
            <w:r>
              <w:rPr>
                <w:rFonts w:hint="eastAsia" w:hAnsi="宋体" w:cs="宋体"/>
                <w:snapToGrid w:val="0"/>
                <w:color w:val="auto"/>
                <w:kern w:val="21"/>
              </w:rPr>
              <w:t>废水</w:t>
            </w:r>
          </w:p>
        </w:tc>
        <w:tc>
          <w:tcPr>
            <w:tcW w:w="1417" w:type="dxa"/>
            <w:vAlign w:val="center"/>
          </w:tcPr>
          <w:p w14:paraId="59C1D4F4">
            <w:pPr>
              <w:pStyle w:val="33"/>
              <w:rPr>
                <w:rFonts w:hint="eastAsia" w:hAnsi="宋体" w:cs="宋体"/>
                <w:snapToGrid w:val="0"/>
                <w:color w:val="auto"/>
                <w:kern w:val="21"/>
              </w:rPr>
            </w:pPr>
            <w:r>
              <w:rPr>
                <w:rFonts w:hAnsi="宋体" w:cs="宋体"/>
                <w:snapToGrid w:val="0"/>
                <w:color w:val="auto"/>
                <w:kern w:val="21"/>
              </w:rPr>
              <w:t>废水量</w:t>
            </w:r>
          </w:p>
        </w:tc>
        <w:tc>
          <w:tcPr>
            <w:tcW w:w="1701" w:type="dxa"/>
            <w:vAlign w:val="center"/>
          </w:tcPr>
          <w:p w14:paraId="7C138B06">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14C96516">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0D37B2DE">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2CD5B921">
            <w:pPr>
              <w:pStyle w:val="33"/>
              <w:rPr>
                <w:rFonts w:hint="default" w:hAnsi="宋体" w:eastAsia="宋体" w:cs="宋体"/>
                <w:snapToGrid w:val="0"/>
                <w:color w:val="auto"/>
                <w:kern w:val="21"/>
                <w:lang w:val="en-US" w:eastAsia="zh-CN"/>
              </w:rPr>
            </w:pPr>
            <w:r>
              <w:rPr>
                <w:rFonts w:hint="eastAsia" w:hAnsi="宋体" w:cs="宋体"/>
                <w:snapToGrid w:val="0"/>
                <w:color w:val="auto"/>
                <w:kern w:val="21"/>
                <w:lang w:val="en-US" w:eastAsia="zh-CN"/>
              </w:rPr>
              <w:t>1336.423</w:t>
            </w:r>
          </w:p>
        </w:tc>
        <w:tc>
          <w:tcPr>
            <w:tcW w:w="1761" w:type="dxa"/>
            <w:shd w:val="clear" w:color="auto" w:fill="auto"/>
            <w:vAlign w:val="center"/>
          </w:tcPr>
          <w:p w14:paraId="1E2BEF99">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1693746F">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1336.423</w:t>
            </w:r>
          </w:p>
        </w:tc>
        <w:tc>
          <w:tcPr>
            <w:tcW w:w="1264" w:type="dxa"/>
            <w:vAlign w:val="center"/>
          </w:tcPr>
          <w:p w14:paraId="31E6947A">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+1336.423</w:t>
            </w:r>
          </w:p>
        </w:tc>
      </w:tr>
      <w:tr w14:paraId="043CCF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6694C8E8">
            <w:pPr>
              <w:pStyle w:val="33"/>
              <w:rPr>
                <w:rFonts w:hint="eastAsia" w:hAnsi="宋体" w:cs="宋体"/>
                <w:snapToGrid w:val="0"/>
                <w:color w:val="auto"/>
                <w:kern w:val="21"/>
              </w:rPr>
            </w:pPr>
          </w:p>
        </w:tc>
        <w:tc>
          <w:tcPr>
            <w:tcW w:w="1417" w:type="dxa"/>
            <w:vAlign w:val="center"/>
          </w:tcPr>
          <w:p w14:paraId="74EC4CDC">
            <w:pPr>
              <w:pStyle w:val="33"/>
              <w:rPr>
                <w:rFonts w:hint="eastAsia" w:hAnsi="宋体" w:cs="宋体"/>
                <w:snapToGrid w:val="0"/>
                <w:color w:val="auto"/>
                <w:kern w:val="21"/>
              </w:rPr>
            </w:pPr>
            <w:r>
              <w:rPr>
                <w:rFonts w:hint="eastAsia" w:hAnsi="宋体" w:cs="宋体"/>
                <w:snapToGrid w:val="0"/>
                <w:color w:val="auto"/>
                <w:kern w:val="21"/>
              </w:rPr>
              <w:t>COD</w:t>
            </w:r>
            <w:r>
              <w:rPr>
                <w:rFonts w:hint="eastAsia" w:hAnsi="宋体" w:cs="宋体"/>
                <w:snapToGrid w:val="0"/>
                <w:color w:val="auto"/>
                <w:kern w:val="21"/>
                <w:vertAlign w:val="subscript"/>
              </w:rPr>
              <w:t>Cr</w:t>
            </w:r>
          </w:p>
        </w:tc>
        <w:tc>
          <w:tcPr>
            <w:tcW w:w="1701" w:type="dxa"/>
            <w:vAlign w:val="center"/>
          </w:tcPr>
          <w:p w14:paraId="284D994C">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43FEB860">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1DF40475">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355BBE38">
            <w:pPr>
              <w:pStyle w:val="33"/>
              <w:rPr>
                <w:rFonts w:hint="default" w:hAnsi="宋体" w:eastAsia="宋体" w:cs="宋体"/>
                <w:snapToGrid w:val="0"/>
                <w:color w:val="auto"/>
                <w:kern w:val="21"/>
                <w:lang w:val="en-US" w:eastAsia="zh-CN"/>
              </w:rPr>
            </w:pPr>
            <w:r>
              <w:rPr>
                <w:rFonts w:hint="eastAsia" w:hAnsi="宋体" w:cs="宋体"/>
                <w:snapToGrid w:val="0"/>
                <w:color w:val="auto"/>
                <w:kern w:val="21"/>
                <w:lang w:val="en-US" w:eastAsia="zh-CN"/>
              </w:rPr>
              <w:t>0.2866</w:t>
            </w:r>
          </w:p>
        </w:tc>
        <w:tc>
          <w:tcPr>
            <w:tcW w:w="1761" w:type="dxa"/>
            <w:shd w:val="clear" w:color="auto" w:fill="auto"/>
            <w:vAlign w:val="center"/>
          </w:tcPr>
          <w:p w14:paraId="1B9D2949">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77459F2C">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0.2866</w:t>
            </w:r>
          </w:p>
        </w:tc>
        <w:tc>
          <w:tcPr>
            <w:tcW w:w="1264" w:type="dxa"/>
            <w:vAlign w:val="center"/>
          </w:tcPr>
          <w:p w14:paraId="44F84A07">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+0.2866</w:t>
            </w:r>
          </w:p>
        </w:tc>
      </w:tr>
      <w:tr w14:paraId="6C6B88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2BFF9C58">
            <w:pPr>
              <w:pStyle w:val="33"/>
              <w:rPr>
                <w:rFonts w:hint="eastAsia" w:hAnsi="宋体" w:cs="宋体"/>
                <w:snapToGrid w:val="0"/>
                <w:color w:val="auto"/>
                <w:kern w:val="21"/>
              </w:rPr>
            </w:pPr>
          </w:p>
        </w:tc>
        <w:tc>
          <w:tcPr>
            <w:tcW w:w="1417" w:type="dxa"/>
            <w:vAlign w:val="center"/>
          </w:tcPr>
          <w:p w14:paraId="081D98E4">
            <w:pPr>
              <w:pStyle w:val="33"/>
              <w:rPr>
                <w:rFonts w:hint="eastAsia" w:hAnsi="宋体" w:cs="宋体"/>
                <w:snapToGrid w:val="0"/>
                <w:color w:val="auto"/>
                <w:kern w:val="21"/>
              </w:rPr>
            </w:pPr>
            <w:r>
              <w:rPr>
                <w:rFonts w:hint="eastAsia" w:hAnsi="宋体" w:cs="宋体"/>
                <w:snapToGrid w:val="0"/>
                <w:color w:val="auto"/>
                <w:kern w:val="21"/>
              </w:rPr>
              <w:t>BOD</w:t>
            </w:r>
            <w:r>
              <w:rPr>
                <w:rFonts w:hint="eastAsia" w:hAnsi="宋体" w:cs="宋体"/>
                <w:snapToGrid w:val="0"/>
                <w:color w:val="auto"/>
                <w:kern w:val="21"/>
                <w:vertAlign w:val="subscript"/>
              </w:rPr>
              <w:t>5</w:t>
            </w:r>
          </w:p>
        </w:tc>
        <w:tc>
          <w:tcPr>
            <w:tcW w:w="1701" w:type="dxa"/>
            <w:vAlign w:val="center"/>
          </w:tcPr>
          <w:p w14:paraId="727F09CA">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0EA7759C">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49579273">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3F9A2922">
            <w:pPr>
              <w:pStyle w:val="33"/>
              <w:rPr>
                <w:rFonts w:hint="default" w:hAnsi="宋体" w:eastAsia="宋体" w:cs="宋体"/>
                <w:snapToGrid w:val="0"/>
                <w:color w:val="auto"/>
                <w:kern w:val="21"/>
                <w:lang w:val="en-US" w:eastAsia="zh-CN"/>
              </w:rPr>
            </w:pPr>
            <w:r>
              <w:rPr>
                <w:rFonts w:hint="eastAsia" w:hAnsi="宋体" w:cs="宋体"/>
                <w:snapToGrid w:val="0"/>
                <w:color w:val="auto"/>
                <w:kern w:val="21"/>
                <w:lang w:val="en-US" w:eastAsia="zh-CN"/>
              </w:rPr>
              <w:t>0.0488</w:t>
            </w:r>
          </w:p>
        </w:tc>
        <w:tc>
          <w:tcPr>
            <w:tcW w:w="1761" w:type="dxa"/>
            <w:shd w:val="clear" w:color="auto" w:fill="auto"/>
            <w:vAlign w:val="center"/>
          </w:tcPr>
          <w:p w14:paraId="1828D1A6">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70FF8E0A">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0.0488</w:t>
            </w:r>
          </w:p>
        </w:tc>
        <w:tc>
          <w:tcPr>
            <w:tcW w:w="1264" w:type="dxa"/>
            <w:vAlign w:val="center"/>
          </w:tcPr>
          <w:p w14:paraId="16F91371">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+0.0488</w:t>
            </w:r>
          </w:p>
        </w:tc>
      </w:tr>
      <w:tr w14:paraId="7A4E27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74655344">
            <w:pPr>
              <w:pStyle w:val="33"/>
              <w:rPr>
                <w:rFonts w:hint="eastAsia" w:hAnsi="宋体" w:cs="宋体"/>
                <w:snapToGrid w:val="0"/>
                <w:color w:val="auto"/>
                <w:kern w:val="21"/>
              </w:rPr>
            </w:pPr>
          </w:p>
        </w:tc>
        <w:tc>
          <w:tcPr>
            <w:tcW w:w="1417" w:type="dxa"/>
            <w:vAlign w:val="center"/>
          </w:tcPr>
          <w:p w14:paraId="6E383C54">
            <w:pPr>
              <w:pStyle w:val="33"/>
              <w:rPr>
                <w:rFonts w:hint="eastAsia" w:hAnsi="宋体" w:cs="宋体"/>
                <w:snapToGrid w:val="0"/>
                <w:color w:val="auto"/>
                <w:kern w:val="21"/>
              </w:rPr>
            </w:pPr>
            <w:r>
              <w:rPr>
                <w:rFonts w:hint="eastAsia" w:hAnsi="宋体" w:cs="宋体"/>
                <w:snapToGrid w:val="0"/>
                <w:color w:val="auto"/>
                <w:kern w:val="21"/>
              </w:rPr>
              <w:t>SS</w:t>
            </w:r>
          </w:p>
        </w:tc>
        <w:tc>
          <w:tcPr>
            <w:tcW w:w="1701" w:type="dxa"/>
            <w:vAlign w:val="center"/>
          </w:tcPr>
          <w:p w14:paraId="7E6F609E">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11DA8237">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06C2325A">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63126D47">
            <w:pPr>
              <w:pStyle w:val="33"/>
              <w:rPr>
                <w:rFonts w:hint="default" w:hAnsi="宋体" w:eastAsia="宋体" w:cs="宋体"/>
                <w:snapToGrid w:val="0"/>
                <w:color w:val="auto"/>
                <w:kern w:val="21"/>
                <w:lang w:val="en-US" w:eastAsia="zh-CN"/>
              </w:rPr>
            </w:pPr>
            <w:r>
              <w:rPr>
                <w:rFonts w:hint="eastAsia" w:hAnsi="宋体" w:cs="宋体"/>
                <w:snapToGrid w:val="0"/>
                <w:color w:val="auto"/>
                <w:kern w:val="21"/>
                <w:lang w:val="en-US" w:eastAsia="zh-CN"/>
              </w:rPr>
              <w:t>0.097</w:t>
            </w:r>
          </w:p>
        </w:tc>
        <w:tc>
          <w:tcPr>
            <w:tcW w:w="1761" w:type="dxa"/>
            <w:shd w:val="clear" w:color="auto" w:fill="auto"/>
            <w:vAlign w:val="center"/>
          </w:tcPr>
          <w:p w14:paraId="54F71AAD">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26C74F8B">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0.097</w:t>
            </w:r>
          </w:p>
        </w:tc>
        <w:tc>
          <w:tcPr>
            <w:tcW w:w="1264" w:type="dxa"/>
            <w:vAlign w:val="center"/>
          </w:tcPr>
          <w:p w14:paraId="4743422A">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+0.097</w:t>
            </w:r>
          </w:p>
        </w:tc>
      </w:tr>
      <w:tr w14:paraId="2A0B62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235664E2">
            <w:pPr>
              <w:pStyle w:val="33"/>
              <w:rPr>
                <w:rFonts w:hint="eastAsia" w:hAnsi="宋体" w:cs="宋体"/>
                <w:snapToGrid w:val="0"/>
                <w:color w:val="auto"/>
                <w:kern w:val="21"/>
              </w:rPr>
            </w:pPr>
          </w:p>
        </w:tc>
        <w:tc>
          <w:tcPr>
            <w:tcW w:w="1417" w:type="dxa"/>
            <w:vAlign w:val="center"/>
          </w:tcPr>
          <w:p w14:paraId="4468FE01">
            <w:pPr>
              <w:pStyle w:val="33"/>
              <w:rPr>
                <w:rFonts w:hint="eastAsia" w:hAnsi="宋体" w:cs="宋体"/>
                <w:snapToGrid w:val="0"/>
                <w:color w:val="auto"/>
                <w:kern w:val="21"/>
              </w:rPr>
            </w:pPr>
            <w:r>
              <w:rPr>
                <w:rFonts w:hint="eastAsia" w:hAnsi="宋体" w:cs="宋体"/>
                <w:snapToGrid w:val="0"/>
                <w:color w:val="auto"/>
                <w:kern w:val="21"/>
              </w:rPr>
              <w:t>NH</w:t>
            </w:r>
            <w:r>
              <w:rPr>
                <w:rFonts w:hint="eastAsia" w:hAnsi="宋体" w:cs="宋体"/>
                <w:snapToGrid w:val="0"/>
                <w:color w:val="auto"/>
                <w:kern w:val="21"/>
                <w:vertAlign w:val="subscript"/>
              </w:rPr>
              <w:t>3</w:t>
            </w:r>
            <w:r>
              <w:rPr>
                <w:rFonts w:hint="eastAsia" w:hAnsi="宋体" w:cs="宋体"/>
                <w:snapToGrid w:val="0"/>
                <w:color w:val="auto"/>
                <w:kern w:val="21"/>
              </w:rPr>
              <w:t>-N</w:t>
            </w:r>
          </w:p>
        </w:tc>
        <w:tc>
          <w:tcPr>
            <w:tcW w:w="1701" w:type="dxa"/>
            <w:vAlign w:val="center"/>
          </w:tcPr>
          <w:p w14:paraId="0AE54648">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18C5EA70">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7BBF7997">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7BA88AD1">
            <w:pPr>
              <w:pStyle w:val="33"/>
              <w:rPr>
                <w:rFonts w:hint="default" w:hAnsi="宋体" w:eastAsia="宋体" w:cs="宋体"/>
                <w:snapToGrid w:val="0"/>
                <w:color w:val="auto"/>
                <w:kern w:val="21"/>
                <w:lang w:val="en-US" w:eastAsia="zh-CN"/>
              </w:rPr>
            </w:pPr>
            <w:r>
              <w:rPr>
                <w:rFonts w:hint="eastAsia" w:hAnsi="宋体" w:cs="宋体"/>
                <w:snapToGrid w:val="0"/>
                <w:color w:val="auto"/>
                <w:kern w:val="21"/>
                <w:lang w:val="en-US" w:eastAsia="zh-CN"/>
              </w:rPr>
              <w:t>0.0288</w:t>
            </w:r>
          </w:p>
        </w:tc>
        <w:tc>
          <w:tcPr>
            <w:tcW w:w="1761" w:type="dxa"/>
            <w:shd w:val="clear" w:color="auto" w:fill="auto"/>
            <w:vAlign w:val="center"/>
          </w:tcPr>
          <w:p w14:paraId="0BE26299">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06ED4600">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0.0288</w:t>
            </w:r>
          </w:p>
        </w:tc>
        <w:tc>
          <w:tcPr>
            <w:tcW w:w="1264" w:type="dxa"/>
            <w:vAlign w:val="center"/>
          </w:tcPr>
          <w:p w14:paraId="57A32D3D">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+0.0288</w:t>
            </w:r>
          </w:p>
        </w:tc>
      </w:tr>
      <w:tr w14:paraId="776AE5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11D5D880">
            <w:pPr>
              <w:pStyle w:val="33"/>
              <w:rPr>
                <w:rFonts w:hint="eastAsia" w:hAnsi="宋体" w:cs="宋体"/>
                <w:snapToGrid w:val="0"/>
                <w:color w:val="auto"/>
                <w:kern w:val="21"/>
              </w:rPr>
            </w:pPr>
          </w:p>
        </w:tc>
        <w:tc>
          <w:tcPr>
            <w:tcW w:w="1417" w:type="dxa"/>
            <w:vAlign w:val="center"/>
          </w:tcPr>
          <w:p w14:paraId="53DF62D1">
            <w:pPr>
              <w:pStyle w:val="33"/>
              <w:rPr>
                <w:rFonts w:hint="eastAsia" w:hAnsi="宋体" w:cs="宋体"/>
                <w:snapToGrid w:val="0"/>
                <w:color w:val="auto"/>
                <w:kern w:val="21"/>
              </w:rPr>
            </w:pPr>
            <w:r>
              <w:rPr>
                <w:rFonts w:hint="eastAsia" w:hAnsi="宋体" w:cs="宋体"/>
                <w:snapToGrid w:val="0"/>
                <w:color w:val="auto"/>
                <w:kern w:val="21"/>
              </w:rPr>
              <w:t>TN</w:t>
            </w:r>
          </w:p>
        </w:tc>
        <w:tc>
          <w:tcPr>
            <w:tcW w:w="1701" w:type="dxa"/>
            <w:vAlign w:val="center"/>
          </w:tcPr>
          <w:p w14:paraId="3BDECE3B">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6D9A9342">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5E104568">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31439F7E">
            <w:pPr>
              <w:pStyle w:val="33"/>
              <w:rPr>
                <w:rFonts w:hint="default" w:hAnsi="宋体" w:eastAsia="宋体" w:cs="宋体"/>
                <w:snapToGrid w:val="0"/>
                <w:color w:val="auto"/>
                <w:kern w:val="21"/>
                <w:lang w:val="en-US" w:eastAsia="zh-CN"/>
              </w:rPr>
            </w:pPr>
            <w:r>
              <w:rPr>
                <w:rFonts w:hint="eastAsia" w:hAnsi="宋体" w:cs="宋体"/>
                <w:snapToGrid w:val="0"/>
                <w:color w:val="auto"/>
                <w:kern w:val="21"/>
                <w:lang w:val="en-US" w:eastAsia="zh-CN"/>
              </w:rPr>
              <w:t>0.067</w:t>
            </w:r>
          </w:p>
        </w:tc>
        <w:tc>
          <w:tcPr>
            <w:tcW w:w="1761" w:type="dxa"/>
            <w:shd w:val="clear" w:color="auto" w:fill="auto"/>
            <w:vAlign w:val="center"/>
          </w:tcPr>
          <w:p w14:paraId="0A4A7028">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64BD57AA">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0.067</w:t>
            </w:r>
          </w:p>
        </w:tc>
        <w:tc>
          <w:tcPr>
            <w:tcW w:w="1264" w:type="dxa"/>
            <w:vAlign w:val="center"/>
          </w:tcPr>
          <w:p w14:paraId="4ED90A3F">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+0.067</w:t>
            </w:r>
          </w:p>
        </w:tc>
      </w:tr>
      <w:tr w14:paraId="51912C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5AF479A8">
            <w:pPr>
              <w:pStyle w:val="33"/>
              <w:rPr>
                <w:rFonts w:hint="eastAsia" w:hAnsi="宋体" w:cs="宋体"/>
                <w:snapToGrid w:val="0"/>
                <w:color w:val="auto"/>
                <w:kern w:val="21"/>
              </w:rPr>
            </w:pPr>
          </w:p>
        </w:tc>
        <w:tc>
          <w:tcPr>
            <w:tcW w:w="1417" w:type="dxa"/>
            <w:vAlign w:val="center"/>
          </w:tcPr>
          <w:p w14:paraId="6FEC078E">
            <w:pPr>
              <w:pStyle w:val="33"/>
              <w:rPr>
                <w:rFonts w:hint="eastAsia" w:hAnsi="宋体" w:cs="宋体"/>
                <w:snapToGrid w:val="0"/>
                <w:color w:val="auto"/>
                <w:kern w:val="21"/>
              </w:rPr>
            </w:pPr>
            <w:r>
              <w:rPr>
                <w:rFonts w:hint="eastAsia" w:hAnsi="宋体" w:cs="宋体"/>
                <w:snapToGrid w:val="0"/>
                <w:color w:val="auto"/>
                <w:kern w:val="21"/>
              </w:rPr>
              <w:t>TP</w:t>
            </w:r>
          </w:p>
        </w:tc>
        <w:tc>
          <w:tcPr>
            <w:tcW w:w="1701" w:type="dxa"/>
            <w:vAlign w:val="center"/>
          </w:tcPr>
          <w:p w14:paraId="4CEAD782">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685A790E">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71E2FE53">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2C43BA1A">
            <w:pPr>
              <w:pStyle w:val="33"/>
              <w:rPr>
                <w:rFonts w:hint="default" w:hAnsi="宋体" w:eastAsia="宋体" w:cs="宋体"/>
                <w:snapToGrid w:val="0"/>
                <w:color w:val="auto"/>
                <w:kern w:val="21"/>
                <w:lang w:val="en-US" w:eastAsia="zh-CN"/>
              </w:rPr>
            </w:pPr>
            <w:r>
              <w:rPr>
                <w:rFonts w:hint="eastAsia" w:hAnsi="宋体" w:cs="宋体"/>
                <w:snapToGrid w:val="0"/>
                <w:color w:val="auto"/>
                <w:kern w:val="21"/>
                <w:lang w:val="en-US" w:eastAsia="zh-CN"/>
              </w:rPr>
              <w:t>0.0077</w:t>
            </w:r>
          </w:p>
        </w:tc>
        <w:tc>
          <w:tcPr>
            <w:tcW w:w="1761" w:type="dxa"/>
            <w:shd w:val="clear" w:color="auto" w:fill="auto"/>
            <w:vAlign w:val="center"/>
          </w:tcPr>
          <w:p w14:paraId="3D474C57">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734877B9">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0.0077</w:t>
            </w:r>
          </w:p>
        </w:tc>
        <w:tc>
          <w:tcPr>
            <w:tcW w:w="1264" w:type="dxa"/>
            <w:vAlign w:val="center"/>
          </w:tcPr>
          <w:p w14:paraId="3E25F768">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+0.0077</w:t>
            </w:r>
          </w:p>
        </w:tc>
      </w:tr>
      <w:tr w14:paraId="3273C3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7898C63C">
            <w:pPr>
              <w:pStyle w:val="33"/>
              <w:rPr>
                <w:rFonts w:hint="eastAsia" w:hAnsi="宋体" w:cs="宋体"/>
                <w:snapToGrid w:val="0"/>
                <w:color w:val="auto"/>
                <w:kern w:val="21"/>
              </w:rPr>
            </w:pPr>
          </w:p>
        </w:tc>
        <w:tc>
          <w:tcPr>
            <w:tcW w:w="1417" w:type="dxa"/>
            <w:vAlign w:val="center"/>
          </w:tcPr>
          <w:p w14:paraId="2B482213">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动植物油</w:t>
            </w:r>
          </w:p>
        </w:tc>
        <w:tc>
          <w:tcPr>
            <w:tcW w:w="1701" w:type="dxa"/>
            <w:vAlign w:val="center"/>
          </w:tcPr>
          <w:p w14:paraId="0FB6B584">
            <w:pPr>
              <w:pStyle w:val="33"/>
              <w:rPr>
                <w:rFonts w:hint="eastAsia" w:hAnsi="宋体" w:cs="宋体"/>
                <w:snapToGrid w:val="0"/>
                <w:color w:val="auto"/>
                <w:kern w:val="21"/>
                <w:lang w:val="en-US" w:eastAsia="zh-CN"/>
              </w:rPr>
            </w:pPr>
          </w:p>
        </w:tc>
        <w:tc>
          <w:tcPr>
            <w:tcW w:w="1276" w:type="dxa"/>
            <w:shd w:val="clear" w:color="auto" w:fill="auto"/>
            <w:vAlign w:val="center"/>
          </w:tcPr>
          <w:p w14:paraId="693C962F">
            <w:pPr>
              <w:pStyle w:val="33"/>
              <w:ind w:firstLine="0" w:firstLineChars="0"/>
              <w:rPr>
                <w:rFonts w:hint="eastAsia" w:hAnsi="宋体" w:cs="宋体"/>
                <w:snapToGrid w:val="0"/>
                <w:color w:val="auto"/>
                <w:kern w:val="21"/>
                <w:lang w:val="en-US" w:eastAsia="zh-CN"/>
              </w:rPr>
            </w:pPr>
          </w:p>
        </w:tc>
        <w:tc>
          <w:tcPr>
            <w:tcW w:w="1701" w:type="dxa"/>
            <w:shd w:val="clear" w:color="auto" w:fill="auto"/>
            <w:vAlign w:val="center"/>
          </w:tcPr>
          <w:p w14:paraId="7D43FCF6">
            <w:pPr>
              <w:pStyle w:val="33"/>
              <w:ind w:firstLine="0" w:firstLineChars="0"/>
              <w:rPr>
                <w:rFonts w:hint="eastAsia" w:hAnsi="宋体" w:cs="宋体"/>
                <w:snapToGrid w:val="0"/>
                <w:color w:val="auto"/>
                <w:kern w:val="21"/>
                <w:lang w:val="en-US" w:eastAsia="zh-CN"/>
              </w:rPr>
            </w:pPr>
          </w:p>
        </w:tc>
        <w:tc>
          <w:tcPr>
            <w:tcW w:w="1559" w:type="dxa"/>
            <w:vAlign w:val="center"/>
          </w:tcPr>
          <w:p w14:paraId="187C3929">
            <w:pPr>
              <w:pStyle w:val="33"/>
              <w:rPr>
                <w:rFonts w:hint="default" w:hAnsi="宋体" w:cs="宋体"/>
                <w:snapToGrid w:val="0"/>
                <w:color w:val="auto"/>
                <w:kern w:val="21"/>
                <w:lang w:val="en-US" w:eastAsia="zh-CN"/>
              </w:rPr>
            </w:pPr>
            <w:r>
              <w:rPr>
                <w:rFonts w:hint="eastAsia" w:hAnsi="宋体" w:cs="宋体"/>
                <w:snapToGrid w:val="0"/>
                <w:color w:val="auto"/>
                <w:kern w:val="21"/>
                <w:lang w:val="en-US" w:eastAsia="zh-CN"/>
              </w:rPr>
              <w:t>0.0019</w:t>
            </w:r>
          </w:p>
        </w:tc>
        <w:tc>
          <w:tcPr>
            <w:tcW w:w="1761" w:type="dxa"/>
            <w:shd w:val="clear" w:color="auto" w:fill="auto"/>
            <w:vAlign w:val="center"/>
          </w:tcPr>
          <w:p w14:paraId="212C2D19">
            <w:pPr>
              <w:pStyle w:val="33"/>
              <w:ind w:firstLine="0" w:firstLineChars="0"/>
              <w:rPr>
                <w:rFonts w:hint="eastAsia" w:hAnsi="宋体" w:cs="宋体"/>
                <w:snapToGrid w:val="0"/>
                <w:color w:val="auto"/>
                <w:kern w:val="21"/>
                <w:lang w:val="en-US" w:eastAsia="zh-CN"/>
              </w:rPr>
            </w:pPr>
          </w:p>
        </w:tc>
        <w:tc>
          <w:tcPr>
            <w:tcW w:w="1521" w:type="dxa"/>
            <w:vAlign w:val="center"/>
          </w:tcPr>
          <w:p w14:paraId="4F8AA689">
            <w:pPr>
              <w:pStyle w:val="33"/>
              <w:ind w:firstLine="0" w:firstLineChars="0"/>
              <w:rPr>
                <w:rFonts w:hint="eastAsia" w:hAnsi="宋体" w:cs="宋体"/>
                <w:snapToGrid w:val="0"/>
                <w:color w:val="auto"/>
                <w:kern w:val="21"/>
                <w:lang w:eastAsia="zh-CN"/>
              </w:rPr>
            </w:pPr>
            <w:r>
              <w:rPr>
                <w:rFonts w:hint="eastAsia" w:hAnsi="宋体" w:cs="宋体"/>
                <w:snapToGrid w:val="0"/>
                <w:color w:val="auto"/>
                <w:kern w:val="21"/>
                <w:lang w:val="en-US" w:eastAsia="zh-CN"/>
              </w:rPr>
              <w:t>0.0019</w:t>
            </w:r>
          </w:p>
        </w:tc>
        <w:tc>
          <w:tcPr>
            <w:tcW w:w="1264" w:type="dxa"/>
            <w:vAlign w:val="center"/>
          </w:tcPr>
          <w:p w14:paraId="7743E46F">
            <w:pPr>
              <w:pStyle w:val="33"/>
              <w:ind w:firstLine="0" w:firstLineChars="0"/>
              <w:rPr>
                <w:rFonts w:hint="eastAsia" w:hAnsi="宋体" w:cs="宋体"/>
                <w:snapToGrid w:val="0"/>
                <w:color w:val="auto"/>
                <w:kern w:val="21"/>
                <w:lang w:val="en-US" w:eastAsia="zh-CN"/>
              </w:rPr>
            </w:pPr>
            <w:r>
              <w:rPr>
                <w:rFonts w:hint="eastAsia" w:hAnsi="宋体" w:cs="宋体"/>
                <w:snapToGrid w:val="0"/>
                <w:color w:val="auto"/>
                <w:kern w:val="21"/>
                <w:lang w:val="en-US" w:eastAsia="zh-CN"/>
              </w:rPr>
              <w:t>+0.0019</w:t>
            </w:r>
          </w:p>
        </w:tc>
      </w:tr>
      <w:tr w14:paraId="5DA86F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496D63D0">
            <w:pPr>
              <w:pStyle w:val="33"/>
              <w:rPr>
                <w:rFonts w:hint="eastAsia" w:hAnsi="宋体" w:cs="宋体"/>
                <w:snapToGrid w:val="0"/>
                <w:color w:val="auto"/>
                <w:kern w:val="21"/>
              </w:rPr>
            </w:pPr>
            <w:r>
              <w:rPr>
                <w:rFonts w:hint="eastAsia" w:hAnsi="宋体" w:cs="宋体"/>
                <w:snapToGrid w:val="0"/>
                <w:color w:val="auto"/>
                <w:kern w:val="21"/>
              </w:rPr>
              <w:t>一般工业固体废物</w:t>
            </w:r>
          </w:p>
        </w:tc>
        <w:tc>
          <w:tcPr>
            <w:tcW w:w="1417" w:type="dxa"/>
            <w:vAlign w:val="center"/>
          </w:tcPr>
          <w:p w14:paraId="049AFBA8">
            <w:pPr>
              <w:pStyle w:val="33"/>
              <w:rPr>
                <w:rFonts w:hint="eastAsia" w:hAnsi="宋体" w:cs="宋体"/>
                <w:snapToGrid w:val="0"/>
                <w:color w:val="auto"/>
                <w:kern w:val="21"/>
              </w:rPr>
            </w:pPr>
            <w:r>
              <w:rPr>
                <w:rFonts w:hAnsi="宋体" w:cs="宋体"/>
                <w:snapToGrid w:val="0"/>
                <w:color w:val="auto"/>
                <w:kern w:val="21"/>
              </w:rPr>
              <w:t>生活垃圾</w:t>
            </w:r>
          </w:p>
        </w:tc>
        <w:tc>
          <w:tcPr>
            <w:tcW w:w="1701" w:type="dxa"/>
            <w:vAlign w:val="center"/>
          </w:tcPr>
          <w:p w14:paraId="48B50E62">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64F5A1D6">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3E4E7F96">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64816619">
            <w:pPr>
              <w:pStyle w:val="33"/>
              <w:rPr>
                <w:rFonts w:hint="eastAsia" w:hAnsi="宋体" w:cs="宋体"/>
                <w:snapToGrid w:val="0"/>
                <w:color w:val="auto"/>
                <w:kern w:val="21"/>
              </w:rPr>
            </w:pPr>
            <w:r>
              <w:rPr>
                <w:rFonts w:hint="eastAsia" w:hAnsi="宋体" w:cs="宋体"/>
                <w:snapToGrid w:val="0"/>
                <w:color w:val="auto"/>
                <w:kern w:val="21"/>
              </w:rPr>
              <w:t>4.785</w:t>
            </w:r>
          </w:p>
        </w:tc>
        <w:tc>
          <w:tcPr>
            <w:tcW w:w="1761" w:type="dxa"/>
            <w:shd w:val="clear" w:color="auto" w:fill="auto"/>
            <w:vAlign w:val="center"/>
          </w:tcPr>
          <w:p w14:paraId="5336A74B">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72BCDCC2">
            <w:pPr>
              <w:pStyle w:val="33"/>
              <w:ind w:firstLine="0" w:firstLineChars="0"/>
              <w:rPr>
                <w:rFonts w:hint="eastAsia" w:hAnsi="宋体" w:cs="宋体"/>
                <w:snapToGrid w:val="0"/>
                <w:color w:val="auto"/>
                <w:kern w:val="21"/>
              </w:rPr>
            </w:pPr>
            <w:r>
              <w:rPr>
                <w:rFonts w:hint="eastAsia" w:hAnsi="宋体" w:cs="宋体"/>
                <w:snapToGrid w:val="0"/>
                <w:color w:val="auto"/>
                <w:kern w:val="21"/>
              </w:rPr>
              <w:t>4.785</w:t>
            </w:r>
          </w:p>
        </w:tc>
        <w:tc>
          <w:tcPr>
            <w:tcW w:w="1264" w:type="dxa"/>
            <w:vAlign w:val="center"/>
          </w:tcPr>
          <w:p w14:paraId="526DE9A0">
            <w:pPr>
              <w:pStyle w:val="33"/>
              <w:ind w:firstLine="0" w:firstLineChars="0"/>
              <w:rPr>
                <w:rFonts w:hint="eastAsia" w:hAnsi="宋体" w:cs="宋体"/>
                <w:snapToGrid w:val="0"/>
                <w:color w:val="auto"/>
                <w:kern w:val="21"/>
              </w:rPr>
            </w:pPr>
            <w:r>
              <w:rPr>
                <w:rFonts w:hint="eastAsia" w:hAnsi="宋体" w:cs="宋体"/>
                <w:snapToGrid w:val="0"/>
                <w:color w:val="auto"/>
                <w:kern w:val="21"/>
                <w:lang w:val="en-US" w:eastAsia="zh-CN"/>
              </w:rPr>
              <w:t>+</w:t>
            </w:r>
            <w:r>
              <w:rPr>
                <w:rFonts w:hint="eastAsia" w:hAnsi="宋体" w:cs="宋体"/>
                <w:snapToGrid w:val="0"/>
                <w:color w:val="auto"/>
                <w:kern w:val="21"/>
              </w:rPr>
              <w:t>4.785</w:t>
            </w:r>
          </w:p>
        </w:tc>
      </w:tr>
      <w:tr w14:paraId="7B8ADC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21C57DF5">
            <w:pPr>
              <w:pStyle w:val="33"/>
              <w:rPr>
                <w:rFonts w:hint="eastAsia" w:hAnsi="宋体" w:cs="宋体"/>
                <w:snapToGrid w:val="0"/>
                <w:color w:val="auto"/>
                <w:kern w:val="21"/>
              </w:rPr>
            </w:pPr>
          </w:p>
        </w:tc>
        <w:tc>
          <w:tcPr>
            <w:tcW w:w="1417" w:type="dxa"/>
            <w:vAlign w:val="center"/>
          </w:tcPr>
          <w:p w14:paraId="307DEFCE">
            <w:pPr>
              <w:pStyle w:val="33"/>
              <w:rPr>
                <w:rFonts w:hint="eastAsia" w:hAnsi="宋体" w:cs="宋体"/>
                <w:snapToGrid w:val="0"/>
                <w:color w:val="auto"/>
                <w:kern w:val="21"/>
              </w:rPr>
            </w:pPr>
            <w:r>
              <w:rPr>
                <w:rFonts w:hAnsi="宋体" w:cs="宋体"/>
                <w:snapToGrid w:val="0"/>
                <w:color w:val="auto"/>
                <w:kern w:val="21"/>
              </w:rPr>
              <w:t>废包装材料</w:t>
            </w:r>
          </w:p>
        </w:tc>
        <w:tc>
          <w:tcPr>
            <w:tcW w:w="1701" w:type="dxa"/>
            <w:vAlign w:val="center"/>
          </w:tcPr>
          <w:p w14:paraId="6A657678">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517EC21E">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06E9E1A7">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55827498">
            <w:pPr>
              <w:pStyle w:val="33"/>
              <w:rPr>
                <w:rFonts w:hint="default" w:hAnsi="宋体" w:eastAsia="宋体" w:cs="宋体"/>
                <w:snapToGrid w:val="0"/>
                <w:color w:val="auto"/>
                <w:kern w:val="21"/>
                <w:lang w:val="en-US" w:eastAsia="zh-CN"/>
              </w:rPr>
            </w:pPr>
            <w:r>
              <w:rPr>
                <w:rFonts w:hint="eastAsia" w:hAnsi="宋体" w:cs="宋体"/>
                <w:snapToGrid w:val="0"/>
                <w:color w:val="auto"/>
                <w:kern w:val="21"/>
              </w:rPr>
              <w:t>0.61</w:t>
            </w:r>
            <w:r>
              <w:rPr>
                <w:rFonts w:hint="eastAsia" w:hAnsi="宋体" w:cs="宋体"/>
                <w:snapToGrid w:val="0"/>
                <w:color w:val="auto"/>
                <w:kern w:val="21"/>
                <w:lang w:val="en-US" w:eastAsia="zh-CN"/>
              </w:rPr>
              <w:t>88</w:t>
            </w:r>
          </w:p>
        </w:tc>
        <w:tc>
          <w:tcPr>
            <w:tcW w:w="1761" w:type="dxa"/>
            <w:shd w:val="clear" w:color="auto" w:fill="auto"/>
            <w:vAlign w:val="center"/>
          </w:tcPr>
          <w:p w14:paraId="08BFDC84">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437B59A4">
            <w:pPr>
              <w:pStyle w:val="33"/>
              <w:ind w:firstLine="0" w:firstLineChars="0"/>
              <w:rPr>
                <w:rFonts w:hint="eastAsia" w:hAnsi="宋体" w:cs="宋体"/>
                <w:snapToGrid w:val="0"/>
                <w:color w:val="auto"/>
                <w:kern w:val="21"/>
              </w:rPr>
            </w:pPr>
            <w:r>
              <w:rPr>
                <w:rFonts w:hint="eastAsia" w:hAnsi="宋体" w:cs="宋体"/>
                <w:snapToGrid w:val="0"/>
                <w:color w:val="auto"/>
                <w:kern w:val="21"/>
              </w:rPr>
              <w:t>0.61</w:t>
            </w:r>
            <w:r>
              <w:rPr>
                <w:rFonts w:hint="eastAsia" w:hAnsi="宋体" w:cs="宋体"/>
                <w:snapToGrid w:val="0"/>
                <w:color w:val="auto"/>
                <w:kern w:val="21"/>
                <w:lang w:val="en-US" w:eastAsia="zh-CN"/>
              </w:rPr>
              <w:t>88</w:t>
            </w:r>
          </w:p>
        </w:tc>
        <w:tc>
          <w:tcPr>
            <w:tcW w:w="1264" w:type="dxa"/>
            <w:vAlign w:val="center"/>
          </w:tcPr>
          <w:p w14:paraId="6E2AD06D">
            <w:pPr>
              <w:pStyle w:val="33"/>
              <w:ind w:firstLine="0" w:firstLineChars="0"/>
              <w:rPr>
                <w:rFonts w:hint="eastAsia" w:hAnsi="宋体" w:cs="宋体"/>
                <w:snapToGrid w:val="0"/>
                <w:color w:val="auto"/>
                <w:kern w:val="21"/>
              </w:rPr>
            </w:pPr>
            <w:r>
              <w:rPr>
                <w:rFonts w:hint="eastAsia" w:hAnsi="宋体" w:cs="宋体"/>
                <w:snapToGrid w:val="0"/>
                <w:color w:val="auto"/>
                <w:kern w:val="21"/>
                <w:lang w:val="en-US" w:eastAsia="zh-CN"/>
              </w:rPr>
              <w:t>+</w:t>
            </w:r>
            <w:r>
              <w:rPr>
                <w:rFonts w:hint="eastAsia" w:hAnsi="宋体" w:cs="宋体"/>
                <w:snapToGrid w:val="0"/>
                <w:color w:val="auto"/>
                <w:kern w:val="21"/>
              </w:rPr>
              <w:t>0.61</w:t>
            </w:r>
            <w:r>
              <w:rPr>
                <w:rFonts w:hint="eastAsia" w:hAnsi="宋体" w:cs="宋体"/>
                <w:snapToGrid w:val="0"/>
                <w:color w:val="auto"/>
                <w:kern w:val="21"/>
                <w:lang w:val="en-US" w:eastAsia="zh-CN"/>
              </w:rPr>
              <w:t>88</w:t>
            </w:r>
          </w:p>
        </w:tc>
      </w:tr>
      <w:tr w14:paraId="4E6806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19348B84">
            <w:pPr>
              <w:pStyle w:val="33"/>
              <w:rPr>
                <w:rFonts w:hint="eastAsia" w:hAnsi="宋体" w:cs="宋体"/>
                <w:snapToGrid w:val="0"/>
                <w:color w:val="auto"/>
                <w:kern w:val="21"/>
              </w:rPr>
            </w:pPr>
          </w:p>
        </w:tc>
        <w:tc>
          <w:tcPr>
            <w:tcW w:w="1417" w:type="dxa"/>
            <w:vAlign w:val="center"/>
          </w:tcPr>
          <w:p w14:paraId="0FD9158E">
            <w:pPr>
              <w:pStyle w:val="33"/>
              <w:rPr>
                <w:rFonts w:hint="eastAsia" w:hAnsi="宋体" w:cs="宋体"/>
                <w:snapToGrid w:val="0"/>
                <w:color w:val="auto"/>
                <w:kern w:val="21"/>
              </w:rPr>
            </w:pPr>
            <w:r>
              <w:rPr>
                <w:rFonts w:hAnsi="宋体" w:cs="宋体"/>
                <w:snapToGrid w:val="0"/>
                <w:color w:val="auto"/>
                <w:kern w:val="21"/>
              </w:rPr>
              <w:t>原料清洗及挑选废料</w:t>
            </w:r>
          </w:p>
        </w:tc>
        <w:tc>
          <w:tcPr>
            <w:tcW w:w="1701" w:type="dxa"/>
            <w:vAlign w:val="center"/>
          </w:tcPr>
          <w:p w14:paraId="161CB0D2">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65B81FA9">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63A37926">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116B9015">
            <w:pPr>
              <w:pStyle w:val="33"/>
              <w:rPr>
                <w:rFonts w:hint="eastAsia" w:hAnsi="宋体" w:eastAsia="宋体" w:cs="宋体"/>
                <w:snapToGrid w:val="0"/>
                <w:color w:val="auto"/>
                <w:kern w:val="21"/>
                <w:lang w:val="en-US" w:eastAsia="zh-CN"/>
              </w:rPr>
            </w:pPr>
            <w:r>
              <w:rPr>
                <w:rFonts w:hint="eastAsia" w:hAnsi="宋体" w:cs="宋体"/>
                <w:snapToGrid w:val="0"/>
                <w:color w:val="auto"/>
                <w:kern w:val="21"/>
              </w:rPr>
              <w:t>0.014</w:t>
            </w:r>
            <w:r>
              <w:rPr>
                <w:rFonts w:hint="eastAsia" w:hAnsi="宋体" w:cs="宋体"/>
                <w:snapToGrid w:val="0"/>
                <w:color w:val="auto"/>
                <w:kern w:val="21"/>
                <w:lang w:val="en-US" w:eastAsia="zh-CN"/>
              </w:rPr>
              <w:t>4</w:t>
            </w:r>
          </w:p>
        </w:tc>
        <w:tc>
          <w:tcPr>
            <w:tcW w:w="1761" w:type="dxa"/>
            <w:shd w:val="clear" w:color="auto" w:fill="auto"/>
            <w:vAlign w:val="center"/>
          </w:tcPr>
          <w:p w14:paraId="668330F8">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51FA94E7">
            <w:pPr>
              <w:pStyle w:val="33"/>
              <w:ind w:firstLine="0" w:firstLineChars="0"/>
              <w:rPr>
                <w:rFonts w:hint="eastAsia" w:hAnsi="宋体" w:cs="宋体"/>
                <w:snapToGrid w:val="0"/>
                <w:color w:val="auto"/>
                <w:kern w:val="21"/>
              </w:rPr>
            </w:pPr>
            <w:r>
              <w:rPr>
                <w:rFonts w:hint="eastAsia" w:hAnsi="宋体" w:cs="宋体"/>
                <w:snapToGrid w:val="0"/>
                <w:color w:val="auto"/>
                <w:kern w:val="21"/>
              </w:rPr>
              <w:t>0.014</w:t>
            </w:r>
            <w:r>
              <w:rPr>
                <w:rFonts w:hint="eastAsia" w:hAnsi="宋体" w:cs="宋体"/>
                <w:snapToGrid w:val="0"/>
                <w:color w:val="auto"/>
                <w:kern w:val="21"/>
                <w:lang w:val="en-US" w:eastAsia="zh-CN"/>
              </w:rPr>
              <w:t>4</w:t>
            </w:r>
          </w:p>
        </w:tc>
        <w:tc>
          <w:tcPr>
            <w:tcW w:w="1264" w:type="dxa"/>
            <w:vAlign w:val="center"/>
          </w:tcPr>
          <w:p w14:paraId="152F3098">
            <w:pPr>
              <w:pStyle w:val="33"/>
              <w:ind w:firstLine="0" w:firstLineChars="0"/>
              <w:rPr>
                <w:rFonts w:hint="eastAsia" w:hAnsi="宋体" w:cs="宋体"/>
                <w:snapToGrid w:val="0"/>
                <w:color w:val="auto"/>
                <w:kern w:val="21"/>
              </w:rPr>
            </w:pPr>
            <w:r>
              <w:rPr>
                <w:rFonts w:hint="eastAsia" w:hAnsi="宋体" w:cs="宋体"/>
                <w:snapToGrid w:val="0"/>
                <w:color w:val="auto"/>
                <w:kern w:val="21"/>
                <w:lang w:val="en-US" w:eastAsia="zh-CN"/>
              </w:rPr>
              <w:t>+</w:t>
            </w:r>
            <w:r>
              <w:rPr>
                <w:rFonts w:hint="eastAsia" w:hAnsi="宋体" w:cs="宋体"/>
                <w:snapToGrid w:val="0"/>
                <w:color w:val="auto"/>
                <w:kern w:val="21"/>
              </w:rPr>
              <w:t>0.014</w:t>
            </w:r>
            <w:r>
              <w:rPr>
                <w:rFonts w:hint="eastAsia" w:hAnsi="宋体" w:cs="宋体"/>
                <w:snapToGrid w:val="0"/>
                <w:color w:val="auto"/>
                <w:kern w:val="21"/>
                <w:lang w:val="en-US" w:eastAsia="zh-CN"/>
              </w:rPr>
              <w:t>4</w:t>
            </w:r>
          </w:p>
        </w:tc>
      </w:tr>
      <w:tr w14:paraId="457CFB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07CB107D">
            <w:pPr>
              <w:pStyle w:val="33"/>
              <w:rPr>
                <w:rFonts w:hint="eastAsia" w:hAnsi="宋体" w:cs="宋体"/>
                <w:snapToGrid w:val="0"/>
                <w:color w:val="auto"/>
                <w:kern w:val="21"/>
              </w:rPr>
            </w:pPr>
          </w:p>
        </w:tc>
        <w:tc>
          <w:tcPr>
            <w:tcW w:w="1417" w:type="dxa"/>
            <w:vAlign w:val="center"/>
          </w:tcPr>
          <w:p w14:paraId="1444482E">
            <w:pPr>
              <w:pStyle w:val="33"/>
              <w:rPr>
                <w:rFonts w:hint="eastAsia" w:hAnsi="宋体" w:cs="宋体"/>
                <w:snapToGrid w:val="0"/>
                <w:color w:val="auto"/>
                <w:kern w:val="21"/>
              </w:rPr>
            </w:pPr>
            <w:r>
              <w:rPr>
                <w:rFonts w:hAnsi="宋体" w:cs="宋体"/>
                <w:snapToGrid w:val="0"/>
                <w:color w:val="auto"/>
                <w:kern w:val="21"/>
              </w:rPr>
              <w:t>食品残渣及含油过滤残渣</w:t>
            </w:r>
          </w:p>
        </w:tc>
        <w:tc>
          <w:tcPr>
            <w:tcW w:w="1701" w:type="dxa"/>
            <w:vAlign w:val="center"/>
          </w:tcPr>
          <w:p w14:paraId="1A91CC1A">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664FCE8B">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1EB3A72E">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6D214CC6">
            <w:pPr>
              <w:pStyle w:val="33"/>
              <w:rPr>
                <w:rFonts w:hint="eastAsia" w:hAnsi="宋体" w:cs="宋体"/>
                <w:snapToGrid w:val="0"/>
                <w:color w:val="auto"/>
                <w:kern w:val="21"/>
              </w:rPr>
            </w:pPr>
            <w:r>
              <w:rPr>
                <w:rFonts w:hint="eastAsia" w:hAnsi="宋体" w:cs="宋体"/>
                <w:snapToGrid w:val="0"/>
                <w:color w:val="auto"/>
                <w:kern w:val="21"/>
              </w:rPr>
              <w:t>0.129</w:t>
            </w:r>
          </w:p>
        </w:tc>
        <w:tc>
          <w:tcPr>
            <w:tcW w:w="1761" w:type="dxa"/>
            <w:shd w:val="clear" w:color="auto" w:fill="auto"/>
            <w:vAlign w:val="center"/>
          </w:tcPr>
          <w:p w14:paraId="318B498F">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4791AFB7">
            <w:pPr>
              <w:pStyle w:val="33"/>
              <w:ind w:firstLine="0" w:firstLineChars="0"/>
              <w:rPr>
                <w:rFonts w:hint="eastAsia" w:hAnsi="宋体" w:cs="宋体"/>
                <w:snapToGrid w:val="0"/>
                <w:color w:val="auto"/>
                <w:kern w:val="21"/>
              </w:rPr>
            </w:pPr>
            <w:r>
              <w:rPr>
                <w:rFonts w:hint="eastAsia" w:hAnsi="宋体" w:cs="宋体"/>
                <w:snapToGrid w:val="0"/>
                <w:color w:val="auto"/>
                <w:kern w:val="21"/>
              </w:rPr>
              <w:t>0.129</w:t>
            </w:r>
          </w:p>
        </w:tc>
        <w:tc>
          <w:tcPr>
            <w:tcW w:w="1264" w:type="dxa"/>
            <w:vAlign w:val="center"/>
          </w:tcPr>
          <w:p w14:paraId="3B0EE53C">
            <w:pPr>
              <w:pStyle w:val="33"/>
              <w:ind w:firstLine="0" w:firstLineChars="0"/>
              <w:rPr>
                <w:rFonts w:hint="eastAsia" w:hAnsi="宋体" w:cs="宋体"/>
                <w:snapToGrid w:val="0"/>
                <w:color w:val="auto"/>
                <w:kern w:val="21"/>
              </w:rPr>
            </w:pPr>
            <w:r>
              <w:rPr>
                <w:rFonts w:hint="eastAsia" w:hAnsi="宋体" w:cs="宋体"/>
                <w:snapToGrid w:val="0"/>
                <w:color w:val="auto"/>
                <w:kern w:val="21"/>
                <w:lang w:val="en-US" w:eastAsia="zh-CN"/>
              </w:rPr>
              <w:t>+</w:t>
            </w:r>
            <w:r>
              <w:rPr>
                <w:rFonts w:hint="eastAsia" w:hAnsi="宋体" w:cs="宋体"/>
                <w:snapToGrid w:val="0"/>
                <w:color w:val="auto"/>
                <w:kern w:val="21"/>
              </w:rPr>
              <w:t>0.129</w:t>
            </w:r>
          </w:p>
        </w:tc>
      </w:tr>
      <w:tr w14:paraId="78D48D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66D87CDF">
            <w:pPr>
              <w:pStyle w:val="33"/>
              <w:rPr>
                <w:rFonts w:hint="eastAsia" w:hAnsi="宋体" w:cs="宋体"/>
                <w:snapToGrid w:val="0"/>
                <w:color w:val="auto"/>
                <w:kern w:val="21"/>
              </w:rPr>
            </w:pPr>
          </w:p>
        </w:tc>
        <w:tc>
          <w:tcPr>
            <w:tcW w:w="1417" w:type="dxa"/>
            <w:vAlign w:val="center"/>
          </w:tcPr>
          <w:p w14:paraId="1A3B5A72">
            <w:pPr>
              <w:pStyle w:val="33"/>
              <w:rPr>
                <w:rFonts w:hint="eastAsia" w:hAnsi="宋体" w:cs="宋体"/>
                <w:snapToGrid w:val="0"/>
                <w:color w:val="auto"/>
                <w:kern w:val="21"/>
              </w:rPr>
            </w:pPr>
            <w:r>
              <w:rPr>
                <w:rFonts w:hint="eastAsia" w:hAnsi="宋体" w:cs="宋体"/>
                <w:snapToGrid w:val="0"/>
                <w:color w:val="auto"/>
                <w:kern w:val="21"/>
              </w:rPr>
              <w:t>不合格产品</w:t>
            </w:r>
          </w:p>
        </w:tc>
        <w:tc>
          <w:tcPr>
            <w:tcW w:w="1701" w:type="dxa"/>
            <w:vAlign w:val="center"/>
          </w:tcPr>
          <w:p w14:paraId="72097C50">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70F2EC0A">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325639E3">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30F795DA">
            <w:pPr>
              <w:pStyle w:val="33"/>
              <w:rPr>
                <w:rFonts w:hint="eastAsia" w:hAnsi="宋体" w:eastAsia="宋体" w:cs="宋体"/>
                <w:snapToGrid w:val="0"/>
                <w:color w:val="auto"/>
                <w:kern w:val="21"/>
                <w:lang w:val="en-US" w:eastAsia="zh-CN"/>
              </w:rPr>
            </w:pPr>
            <w:r>
              <w:rPr>
                <w:rFonts w:hint="eastAsia" w:hAnsi="宋体" w:cs="宋体"/>
                <w:snapToGrid w:val="0"/>
                <w:color w:val="auto"/>
                <w:kern w:val="21"/>
              </w:rPr>
              <w:t>0.127</w:t>
            </w:r>
            <w:r>
              <w:rPr>
                <w:rFonts w:hint="eastAsia" w:hAnsi="宋体" w:cs="宋体"/>
                <w:snapToGrid w:val="0"/>
                <w:color w:val="auto"/>
                <w:kern w:val="21"/>
                <w:lang w:val="en-US" w:eastAsia="zh-CN"/>
              </w:rPr>
              <w:t>3</w:t>
            </w:r>
          </w:p>
        </w:tc>
        <w:tc>
          <w:tcPr>
            <w:tcW w:w="1761" w:type="dxa"/>
            <w:shd w:val="clear" w:color="auto" w:fill="auto"/>
            <w:vAlign w:val="center"/>
          </w:tcPr>
          <w:p w14:paraId="253CA49D">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2283DB67">
            <w:pPr>
              <w:pStyle w:val="33"/>
              <w:ind w:firstLine="0" w:firstLineChars="0"/>
              <w:rPr>
                <w:rFonts w:hint="eastAsia" w:hAnsi="宋体" w:cs="宋体"/>
                <w:snapToGrid w:val="0"/>
                <w:color w:val="auto"/>
                <w:kern w:val="21"/>
              </w:rPr>
            </w:pPr>
            <w:r>
              <w:rPr>
                <w:rFonts w:hint="eastAsia" w:hAnsi="宋体" w:cs="宋体"/>
                <w:snapToGrid w:val="0"/>
                <w:color w:val="auto"/>
                <w:kern w:val="21"/>
              </w:rPr>
              <w:t>0.127</w:t>
            </w:r>
            <w:r>
              <w:rPr>
                <w:rFonts w:hint="eastAsia" w:hAnsi="宋体" w:cs="宋体"/>
                <w:snapToGrid w:val="0"/>
                <w:color w:val="auto"/>
                <w:kern w:val="21"/>
                <w:lang w:val="en-US" w:eastAsia="zh-CN"/>
              </w:rPr>
              <w:t>3</w:t>
            </w:r>
          </w:p>
        </w:tc>
        <w:tc>
          <w:tcPr>
            <w:tcW w:w="1264" w:type="dxa"/>
            <w:vAlign w:val="center"/>
          </w:tcPr>
          <w:p w14:paraId="3784B305">
            <w:pPr>
              <w:pStyle w:val="33"/>
              <w:ind w:firstLine="0" w:firstLineChars="0"/>
              <w:rPr>
                <w:rFonts w:hint="eastAsia" w:hAnsi="宋体" w:cs="宋体"/>
                <w:snapToGrid w:val="0"/>
                <w:color w:val="auto"/>
                <w:kern w:val="21"/>
              </w:rPr>
            </w:pPr>
            <w:r>
              <w:rPr>
                <w:rFonts w:hint="eastAsia" w:hAnsi="宋体" w:cs="宋体"/>
                <w:snapToGrid w:val="0"/>
                <w:color w:val="auto"/>
                <w:kern w:val="21"/>
                <w:lang w:val="en-US" w:eastAsia="zh-CN"/>
              </w:rPr>
              <w:t>+</w:t>
            </w:r>
            <w:r>
              <w:rPr>
                <w:rFonts w:hint="eastAsia" w:hAnsi="宋体" w:cs="宋体"/>
                <w:snapToGrid w:val="0"/>
                <w:color w:val="auto"/>
                <w:kern w:val="21"/>
              </w:rPr>
              <w:t>0.127</w:t>
            </w:r>
            <w:r>
              <w:rPr>
                <w:rFonts w:hint="eastAsia" w:hAnsi="宋体" w:cs="宋体"/>
                <w:snapToGrid w:val="0"/>
                <w:color w:val="auto"/>
                <w:kern w:val="21"/>
                <w:lang w:val="en-US" w:eastAsia="zh-CN"/>
              </w:rPr>
              <w:t>3</w:t>
            </w:r>
          </w:p>
        </w:tc>
      </w:tr>
      <w:tr w14:paraId="6EB3F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0D557F0A">
            <w:pPr>
              <w:pStyle w:val="33"/>
              <w:rPr>
                <w:rFonts w:hint="eastAsia" w:hAnsi="宋体" w:cs="宋体"/>
                <w:snapToGrid w:val="0"/>
                <w:color w:val="auto"/>
                <w:kern w:val="21"/>
              </w:rPr>
            </w:pPr>
          </w:p>
        </w:tc>
        <w:tc>
          <w:tcPr>
            <w:tcW w:w="1417" w:type="dxa"/>
            <w:vAlign w:val="center"/>
          </w:tcPr>
          <w:p w14:paraId="23F7501E">
            <w:pPr>
              <w:pStyle w:val="33"/>
              <w:rPr>
                <w:rFonts w:hint="eastAsia" w:hAnsi="宋体" w:cs="宋体"/>
                <w:snapToGrid w:val="0"/>
                <w:color w:val="auto"/>
                <w:kern w:val="21"/>
              </w:rPr>
            </w:pPr>
            <w:r>
              <w:rPr>
                <w:rFonts w:hint="eastAsia" w:hAnsi="宋体" w:cs="宋体"/>
                <w:snapToGrid w:val="0"/>
                <w:color w:val="auto"/>
                <w:kern w:val="21"/>
              </w:rPr>
              <w:t>隔油浮渣及沉淀物</w:t>
            </w:r>
          </w:p>
        </w:tc>
        <w:tc>
          <w:tcPr>
            <w:tcW w:w="1701" w:type="dxa"/>
            <w:vAlign w:val="center"/>
          </w:tcPr>
          <w:p w14:paraId="61C94C30">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027CBD9C">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0682B9EE">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6023920A">
            <w:pPr>
              <w:pStyle w:val="33"/>
              <w:rPr>
                <w:rFonts w:hint="default" w:hAnsi="宋体" w:eastAsia="宋体" w:cs="宋体"/>
                <w:snapToGrid w:val="0"/>
                <w:color w:val="auto"/>
                <w:kern w:val="21"/>
                <w:lang w:val="en-US" w:eastAsia="zh-CN"/>
              </w:rPr>
            </w:pPr>
            <w:r>
              <w:rPr>
                <w:rFonts w:hint="eastAsia" w:hAnsi="宋体" w:cs="宋体"/>
                <w:snapToGrid w:val="0"/>
                <w:color w:val="auto"/>
                <w:kern w:val="21"/>
                <w:lang w:eastAsia="zh-CN"/>
              </w:rPr>
              <w:t>0.</w:t>
            </w:r>
            <w:r>
              <w:rPr>
                <w:rFonts w:hint="eastAsia" w:hAnsi="宋体" w:cs="宋体"/>
                <w:snapToGrid w:val="0"/>
                <w:color w:val="auto"/>
                <w:kern w:val="21"/>
                <w:lang w:val="en-US" w:eastAsia="zh-CN"/>
              </w:rPr>
              <w:t>041</w:t>
            </w:r>
          </w:p>
        </w:tc>
        <w:tc>
          <w:tcPr>
            <w:tcW w:w="1761" w:type="dxa"/>
            <w:shd w:val="clear" w:color="auto" w:fill="auto"/>
            <w:vAlign w:val="center"/>
          </w:tcPr>
          <w:p w14:paraId="4FA66B67">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3E7340E9">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eastAsia="zh-CN"/>
              </w:rPr>
              <w:t>0.</w:t>
            </w:r>
            <w:r>
              <w:rPr>
                <w:rFonts w:hint="eastAsia" w:hAnsi="宋体" w:cs="宋体"/>
                <w:snapToGrid w:val="0"/>
                <w:color w:val="auto"/>
                <w:kern w:val="21"/>
                <w:lang w:val="en-US" w:eastAsia="zh-CN"/>
              </w:rPr>
              <w:t>041</w:t>
            </w:r>
          </w:p>
        </w:tc>
        <w:tc>
          <w:tcPr>
            <w:tcW w:w="1264" w:type="dxa"/>
            <w:vAlign w:val="center"/>
          </w:tcPr>
          <w:p w14:paraId="668DF319">
            <w:pPr>
              <w:pStyle w:val="33"/>
              <w:ind w:firstLine="0" w:firstLineChars="0"/>
              <w:rPr>
                <w:rFonts w:hint="eastAsia" w:hAnsi="宋体" w:eastAsia="宋体" w:cs="宋体"/>
                <w:snapToGrid w:val="0"/>
                <w:color w:val="auto"/>
                <w:kern w:val="21"/>
                <w:lang w:eastAsia="zh-CN"/>
              </w:rPr>
            </w:pPr>
            <w:r>
              <w:rPr>
                <w:rFonts w:hint="eastAsia" w:hAnsi="宋体" w:cs="宋体"/>
                <w:snapToGrid w:val="0"/>
                <w:color w:val="auto"/>
                <w:kern w:val="21"/>
                <w:lang w:val="en-US" w:eastAsia="zh-CN"/>
              </w:rPr>
              <w:t>+</w:t>
            </w:r>
            <w:r>
              <w:rPr>
                <w:rFonts w:hint="eastAsia" w:hAnsi="宋体" w:cs="宋体"/>
                <w:snapToGrid w:val="0"/>
                <w:color w:val="auto"/>
                <w:kern w:val="21"/>
                <w:lang w:eastAsia="zh-CN"/>
              </w:rPr>
              <w:t>0.</w:t>
            </w:r>
            <w:r>
              <w:rPr>
                <w:rFonts w:hint="eastAsia" w:hAnsi="宋体" w:cs="宋体"/>
                <w:snapToGrid w:val="0"/>
                <w:color w:val="auto"/>
                <w:kern w:val="21"/>
                <w:lang w:val="en-US" w:eastAsia="zh-CN"/>
              </w:rPr>
              <w:t>041</w:t>
            </w:r>
          </w:p>
        </w:tc>
      </w:tr>
      <w:tr w14:paraId="4A82F3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06519645">
            <w:pPr>
              <w:pStyle w:val="33"/>
              <w:rPr>
                <w:rFonts w:hint="eastAsia" w:hAnsi="宋体" w:cs="宋体"/>
                <w:snapToGrid w:val="0"/>
                <w:color w:val="auto"/>
                <w:kern w:val="21"/>
              </w:rPr>
            </w:pPr>
          </w:p>
        </w:tc>
        <w:tc>
          <w:tcPr>
            <w:tcW w:w="1417" w:type="dxa"/>
            <w:vAlign w:val="center"/>
          </w:tcPr>
          <w:p w14:paraId="15380F9D">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污泥</w:t>
            </w:r>
          </w:p>
        </w:tc>
        <w:tc>
          <w:tcPr>
            <w:tcW w:w="1701" w:type="dxa"/>
            <w:vAlign w:val="center"/>
          </w:tcPr>
          <w:p w14:paraId="6A51B27D">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57BB4499">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616DAEBA">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6B2A7C24">
            <w:pPr>
              <w:pStyle w:val="33"/>
              <w:rPr>
                <w:rFonts w:hint="default" w:hAnsi="宋体" w:cs="宋体"/>
                <w:snapToGrid w:val="0"/>
                <w:color w:val="auto"/>
                <w:kern w:val="21"/>
                <w:lang w:val="en-US" w:eastAsia="zh-CN"/>
              </w:rPr>
            </w:pPr>
            <w:r>
              <w:rPr>
                <w:rFonts w:hint="eastAsia" w:hAnsi="宋体" w:cs="宋体"/>
                <w:snapToGrid w:val="0"/>
                <w:color w:val="auto"/>
                <w:kern w:val="21"/>
                <w:lang w:val="en-US" w:eastAsia="zh-CN"/>
              </w:rPr>
              <w:t>0.1425</w:t>
            </w:r>
          </w:p>
        </w:tc>
        <w:tc>
          <w:tcPr>
            <w:tcW w:w="1761" w:type="dxa"/>
            <w:shd w:val="clear" w:color="auto" w:fill="auto"/>
            <w:vAlign w:val="center"/>
          </w:tcPr>
          <w:p w14:paraId="2EA66B79">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5A4727B4">
            <w:pPr>
              <w:pStyle w:val="33"/>
              <w:ind w:firstLine="0" w:firstLineChars="0"/>
              <w:rPr>
                <w:rFonts w:hint="eastAsia" w:hAnsi="宋体" w:cs="宋体"/>
                <w:snapToGrid w:val="0"/>
                <w:color w:val="auto"/>
                <w:kern w:val="21"/>
                <w:lang w:eastAsia="zh-CN"/>
              </w:rPr>
            </w:pPr>
            <w:r>
              <w:rPr>
                <w:rFonts w:hint="eastAsia" w:hAnsi="宋体" w:cs="宋体"/>
                <w:snapToGrid w:val="0"/>
                <w:color w:val="auto"/>
                <w:kern w:val="21"/>
                <w:lang w:val="en-US" w:eastAsia="zh-CN"/>
              </w:rPr>
              <w:t>0.1425</w:t>
            </w:r>
          </w:p>
        </w:tc>
        <w:tc>
          <w:tcPr>
            <w:tcW w:w="1264" w:type="dxa"/>
            <w:vAlign w:val="center"/>
          </w:tcPr>
          <w:p w14:paraId="2491342C">
            <w:pPr>
              <w:pStyle w:val="33"/>
              <w:ind w:firstLine="0" w:firstLineChars="0"/>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+0.1425</w:t>
            </w:r>
          </w:p>
        </w:tc>
      </w:tr>
      <w:tr w14:paraId="7827A7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43C78982">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危险废物</w:t>
            </w:r>
          </w:p>
        </w:tc>
        <w:tc>
          <w:tcPr>
            <w:tcW w:w="1417" w:type="dxa"/>
            <w:vAlign w:val="center"/>
          </w:tcPr>
          <w:p w14:paraId="54168088">
            <w:pPr>
              <w:pStyle w:val="33"/>
              <w:rPr>
                <w:rFonts w:hint="default" w:hAnsi="宋体" w:cs="宋体"/>
                <w:snapToGrid w:val="0"/>
                <w:color w:val="auto"/>
                <w:kern w:val="21"/>
                <w:lang w:val="en-US" w:eastAsia="zh-CN"/>
              </w:rPr>
            </w:pPr>
            <w:r>
              <w:rPr>
                <w:rFonts w:hint="eastAsia" w:hAnsi="宋体" w:cs="宋体"/>
                <w:snapToGrid w:val="0"/>
                <w:color w:val="auto"/>
                <w:kern w:val="21"/>
                <w:lang w:val="en-US" w:eastAsia="zh-CN"/>
              </w:rPr>
              <w:t>废润滑油</w:t>
            </w:r>
          </w:p>
        </w:tc>
        <w:tc>
          <w:tcPr>
            <w:tcW w:w="1701" w:type="dxa"/>
            <w:vAlign w:val="center"/>
          </w:tcPr>
          <w:p w14:paraId="606E9FBF">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1EE67DEC">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013F045C">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10C2AD5B">
            <w:pPr>
              <w:pStyle w:val="33"/>
              <w:rPr>
                <w:rFonts w:hint="default" w:hAnsi="宋体" w:cs="宋体"/>
                <w:snapToGrid w:val="0"/>
                <w:color w:val="auto"/>
                <w:kern w:val="21"/>
                <w:lang w:val="en-US" w:eastAsia="zh-CN"/>
              </w:rPr>
            </w:pPr>
            <w:r>
              <w:rPr>
                <w:rFonts w:hint="eastAsia" w:hAnsi="宋体" w:cs="宋体"/>
                <w:snapToGrid w:val="0"/>
                <w:color w:val="auto"/>
                <w:kern w:val="21"/>
                <w:lang w:val="en-US" w:eastAsia="zh-CN"/>
              </w:rPr>
              <w:t>0.01</w:t>
            </w:r>
          </w:p>
        </w:tc>
        <w:tc>
          <w:tcPr>
            <w:tcW w:w="1761" w:type="dxa"/>
            <w:shd w:val="clear" w:color="auto" w:fill="auto"/>
            <w:vAlign w:val="center"/>
          </w:tcPr>
          <w:p w14:paraId="06D78258">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3EEF9131">
            <w:pPr>
              <w:pStyle w:val="33"/>
              <w:ind w:firstLine="0" w:firstLineChars="0"/>
              <w:rPr>
                <w:rFonts w:hint="eastAsia" w:hAnsi="宋体" w:cs="宋体"/>
                <w:snapToGrid w:val="0"/>
                <w:color w:val="auto"/>
                <w:kern w:val="21"/>
                <w:lang w:val="en-US" w:eastAsia="zh-CN"/>
              </w:rPr>
            </w:pPr>
            <w:r>
              <w:rPr>
                <w:rFonts w:hint="eastAsia" w:hAnsi="宋体" w:cs="宋体"/>
                <w:snapToGrid w:val="0"/>
                <w:color w:val="auto"/>
                <w:kern w:val="21"/>
                <w:lang w:val="en-US" w:eastAsia="zh-CN"/>
              </w:rPr>
              <w:t>0.01</w:t>
            </w:r>
          </w:p>
        </w:tc>
        <w:tc>
          <w:tcPr>
            <w:tcW w:w="1264" w:type="dxa"/>
            <w:vAlign w:val="center"/>
          </w:tcPr>
          <w:p w14:paraId="1671D5CC">
            <w:pPr>
              <w:pStyle w:val="33"/>
              <w:ind w:firstLine="0" w:firstLineChars="0"/>
              <w:rPr>
                <w:rFonts w:hint="eastAsia" w:hAnsi="宋体" w:cs="宋体"/>
                <w:snapToGrid w:val="0"/>
                <w:color w:val="auto"/>
                <w:kern w:val="21"/>
                <w:lang w:val="en-US" w:eastAsia="zh-CN"/>
              </w:rPr>
            </w:pPr>
            <w:r>
              <w:rPr>
                <w:rFonts w:hint="eastAsia" w:hAnsi="宋体" w:cs="宋体"/>
                <w:snapToGrid w:val="0"/>
                <w:color w:val="auto"/>
                <w:kern w:val="21"/>
                <w:lang w:val="en-US" w:eastAsia="zh-CN"/>
              </w:rPr>
              <w:t>+0.01</w:t>
            </w:r>
          </w:p>
        </w:tc>
      </w:tr>
      <w:tr w14:paraId="6496C2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1361D4E4">
            <w:pPr>
              <w:pStyle w:val="33"/>
              <w:rPr>
                <w:rFonts w:hint="eastAsia" w:hAnsi="宋体" w:cs="宋体"/>
                <w:snapToGrid w:val="0"/>
                <w:color w:val="auto"/>
                <w:kern w:val="21"/>
              </w:rPr>
            </w:pPr>
          </w:p>
        </w:tc>
        <w:tc>
          <w:tcPr>
            <w:tcW w:w="1417" w:type="dxa"/>
            <w:vAlign w:val="center"/>
          </w:tcPr>
          <w:p w14:paraId="36A557F4">
            <w:pPr>
              <w:pStyle w:val="33"/>
              <w:rPr>
                <w:rFonts w:hint="default" w:hAnsi="宋体" w:cs="宋体"/>
                <w:snapToGrid w:val="0"/>
                <w:color w:val="auto"/>
                <w:kern w:val="21"/>
                <w:lang w:val="en-US" w:eastAsia="zh-CN"/>
              </w:rPr>
            </w:pPr>
            <w:r>
              <w:rPr>
                <w:rFonts w:hint="eastAsia" w:hAnsi="宋体" w:cs="宋体"/>
                <w:snapToGrid w:val="0"/>
                <w:color w:val="auto"/>
                <w:kern w:val="21"/>
                <w:lang w:val="en-US" w:eastAsia="zh-CN"/>
              </w:rPr>
              <w:t>含油抹布及劳保用品</w:t>
            </w:r>
          </w:p>
        </w:tc>
        <w:tc>
          <w:tcPr>
            <w:tcW w:w="1701" w:type="dxa"/>
            <w:vAlign w:val="center"/>
          </w:tcPr>
          <w:p w14:paraId="140D1FF1">
            <w:pPr>
              <w:pStyle w:val="33"/>
              <w:rPr>
                <w:rFonts w:hint="eastAsia" w:hAnsi="宋体" w:eastAsia="宋体" w:cs="宋体"/>
                <w:snapToGrid w:val="0"/>
                <w:color w:val="auto"/>
                <w:kern w:val="21"/>
                <w:lang w:val="en-US" w:eastAsia="zh-CN"/>
              </w:rPr>
            </w:pPr>
            <w:r>
              <w:rPr>
                <w:rFonts w:hint="eastAsia" w:hAnsi="宋体" w:cs="宋体"/>
                <w:snapToGrid w:val="0"/>
                <w:color w:val="auto"/>
                <w:kern w:val="21"/>
                <w:lang w:val="en-US" w:eastAsia="zh-CN"/>
              </w:rPr>
              <w:t>/</w:t>
            </w:r>
          </w:p>
        </w:tc>
        <w:tc>
          <w:tcPr>
            <w:tcW w:w="1276" w:type="dxa"/>
            <w:shd w:val="clear" w:color="auto" w:fill="auto"/>
            <w:vAlign w:val="center"/>
          </w:tcPr>
          <w:p w14:paraId="0C64341C">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701" w:type="dxa"/>
            <w:shd w:val="clear" w:color="auto" w:fill="auto"/>
            <w:vAlign w:val="center"/>
          </w:tcPr>
          <w:p w14:paraId="4D0EEA56">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59" w:type="dxa"/>
            <w:vAlign w:val="center"/>
          </w:tcPr>
          <w:p w14:paraId="7AD236BD">
            <w:pPr>
              <w:pStyle w:val="33"/>
              <w:rPr>
                <w:rFonts w:hint="default" w:hAnsi="宋体" w:cs="宋体"/>
                <w:snapToGrid w:val="0"/>
                <w:color w:val="auto"/>
                <w:kern w:val="21"/>
                <w:lang w:val="en-US" w:eastAsia="zh-CN"/>
              </w:rPr>
            </w:pPr>
            <w:r>
              <w:rPr>
                <w:rFonts w:hint="eastAsia" w:hAnsi="宋体" w:cs="宋体"/>
                <w:snapToGrid w:val="0"/>
                <w:color w:val="auto"/>
                <w:kern w:val="21"/>
                <w:lang w:val="en-US" w:eastAsia="zh-CN"/>
              </w:rPr>
              <w:t>0.005</w:t>
            </w:r>
          </w:p>
        </w:tc>
        <w:tc>
          <w:tcPr>
            <w:tcW w:w="1761" w:type="dxa"/>
            <w:shd w:val="clear" w:color="auto" w:fill="auto"/>
            <w:vAlign w:val="center"/>
          </w:tcPr>
          <w:p w14:paraId="1808FDAC">
            <w:pPr>
              <w:pStyle w:val="33"/>
              <w:ind w:firstLine="0" w:firstLineChars="0"/>
              <w:rPr>
                <w:rFonts w:hint="eastAsia" w:ascii="Times New Roman" w:hAnsi="宋体" w:eastAsia="宋体" w:cs="宋体"/>
                <w:snapToGrid w:val="0"/>
                <w:color w:val="auto"/>
                <w:kern w:val="21"/>
                <w:sz w:val="21"/>
                <w:szCs w:val="21"/>
                <w:lang w:val="en-US" w:eastAsia="zh-CN" w:bidi="ar-SA"/>
              </w:rPr>
            </w:pPr>
            <w:r>
              <w:rPr>
                <w:rFonts w:hint="eastAsia" w:hAnsi="宋体" w:cs="宋体"/>
                <w:snapToGrid w:val="0"/>
                <w:color w:val="auto"/>
                <w:kern w:val="21"/>
                <w:lang w:val="en-US" w:eastAsia="zh-CN"/>
              </w:rPr>
              <w:t>/</w:t>
            </w:r>
          </w:p>
        </w:tc>
        <w:tc>
          <w:tcPr>
            <w:tcW w:w="1521" w:type="dxa"/>
            <w:vAlign w:val="center"/>
          </w:tcPr>
          <w:p w14:paraId="43ED4F04">
            <w:pPr>
              <w:pStyle w:val="33"/>
              <w:ind w:firstLine="0" w:firstLineChars="0"/>
              <w:rPr>
                <w:rFonts w:hint="eastAsia" w:hAnsi="宋体" w:cs="宋体"/>
                <w:snapToGrid w:val="0"/>
                <w:color w:val="auto"/>
                <w:kern w:val="21"/>
                <w:lang w:val="en-US" w:eastAsia="zh-CN"/>
              </w:rPr>
            </w:pPr>
            <w:r>
              <w:rPr>
                <w:rFonts w:hint="eastAsia" w:hAnsi="宋体" w:cs="宋体"/>
                <w:snapToGrid w:val="0"/>
                <w:color w:val="auto"/>
                <w:kern w:val="21"/>
                <w:lang w:val="en-US" w:eastAsia="zh-CN"/>
              </w:rPr>
              <w:t>0.005</w:t>
            </w:r>
          </w:p>
        </w:tc>
        <w:tc>
          <w:tcPr>
            <w:tcW w:w="1264" w:type="dxa"/>
            <w:vAlign w:val="center"/>
          </w:tcPr>
          <w:p w14:paraId="3ABFDFA9">
            <w:pPr>
              <w:pStyle w:val="33"/>
              <w:ind w:firstLine="0" w:firstLineChars="0"/>
              <w:rPr>
                <w:rFonts w:hint="eastAsia" w:hAnsi="宋体" w:cs="宋体"/>
                <w:snapToGrid w:val="0"/>
                <w:color w:val="auto"/>
                <w:kern w:val="21"/>
                <w:lang w:val="en-US" w:eastAsia="zh-CN"/>
              </w:rPr>
            </w:pPr>
            <w:r>
              <w:rPr>
                <w:rFonts w:hint="eastAsia" w:hAnsi="宋体" w:cs="宋体"/>
                <w:snapToGrid w:val="0"/>
                <w:color w:val="auto"/>
                <w:kern w:val="21"/>
                <w:lang w:val="en-US" w:eastAsia="zh-CN"/>
              </w:rPr>
              <w:t>+0.005</w:t>
            </w:r>
          </w:p>
        </w:tc>
      </w:tr>
    </w:tbl>
    <w:p w14:paraId="0959A79A">
      <w:pPr>
        <w:pStyle w:val="33"/>
        <w:spacing w:before="192" w:beforeLines="80" w:after="24"/>
        <w:jc w:val="left"/>
        <w:rPr>
          <w:rFonts w:hint="eastAsia" w:hAnsi="宋体"/>
          <w:snapToGrid w:val="0"/>
          <w:color w:val="auto"/>
          <w:spacing w:val="-6"/>
          <w:kern w:val="21"/>
        </w:rPr>
      </w:pPr>
      <w:r>
        <w:rPr>
          <w:rFonts w:hAnsi="宋体"/>
          <w:snapToGrid w:val="0"/>
          <w:color w:val="auto"/>
          <w:kern w:val="21"/>
        </w:rPr>
        <w:t>注：</w:t>
      </w:r>
      <w:r>
        <w:rPr>
          <w:rFonts w:hAnsi="宋体"/>
          <w:snapToGrid w:val="0"/>
          <w:color w:val="auto"/>
          <w:spacing w:val="-16"/>
          <w:kern w:val="21"/>
        </w:rPr>
        <w:fldChar w:fldCharType="begin"/>
      </w:r>
      <w:r>
        <w:rPr>
          <w:rFonts w:hAnsi="宋体"/>
          <w:snapToGrid w:val="0"/>
          <w:color w:val="auto"/>
          <w:spacing w:val="-16"/>
          <w:kern w:val="21"/>
        </w:rPr>
        <w:instrText xml:space="preserve"> = 6 \* GB3 \* MERGEFORMAT </w:instrText>
      </w:r>
      <w:r>
        <w:rPr>
          <w:rFonts w:hAnsi="宋体"/>
          <w:snapToGrid w:val="0"/>
          <w:color w:val="auto"/>
          <w:spacing w:val="-16"/>
          <w:kern w:val="21"/>
        </w:rPr>
        <w:fldChar w:fldCharType="separate"/>
      </w:r>
      <w:r>
        <w:rPr>
          <w:rFonts w:hint="eastAsia" w:hAnsi="宋体"/>
          <w:color w:val="auto"/>
        </w:rPr>
        <w:t>⑥</w:t>
      </w:r>
      <w:r>
        <w:rPr>
          <w:rFonts w:hAnsi="宋体"/>
          <w:snapToGrid w:val="0"/>
          <w:color w:val="auto"/>
          <w:spacing w:val="-16"/>
          <w:kern w:val="21"/>
        </w:rPr>
        <w:fldChar w:fldCharType="end"/>
      </w:r>
      <w:r>
        <w:rPr>
          <w:rFonts w:hAnsi="宋体"/>
          <w:snapToGrid w:val="0"/>
          <w:color w:val="auto"/>
          <w:spacing w:val="-16"/>
          <w:kern w:val="21"/>
        </w:rPr>
        <w:t>=</w:t>
      </w:r>
      <w:r>
        <w:rPr>
          <w:rFonts w:hAnsi="宋体"/>
          <w:snapToGrid w:val="0"/>
          <w:color w:val="auto"/>
          <w:spacing w:val="-6"/>
          <w:kern w:val="21"/>
        </w:rPr>
        <w:fldChar w:fldCharType="begin"/>
      </w:r>
      <w:r>
        <w:rPr>
          <w:rFonts w:hAnsi="宋体"/>
          <w:snapToGrid w:val="0"/>
          <w:color w:val="auto"/>
          <w:spacing w:val="-6"/>
          <w:kern w:val="21"/>
        </w:rPr>
        <w:instrText xml:space="preserve"> = 1 \* GB3 \* MERGEFORMAT </w:instrText>
      </w:r>
      <w:r>
        <w:rPr>
          <w:rFonts w:hAnsi="宋体"/>
          <w:snapToGrid w:val="0"/>
          <w:color w:val="auto"/>
          <w:spacing w:val="-6"/>
          <w:kern w:val="21"/>
        </w:rPr>
        <w:fldChar w:fldCharType="separate"/>
      </w:r>
      <w:r>
        <w:rPr>
          <w:rFonts w:hint="eastAsia" w:hAnsi="宋体"/>
          <w:color w:val="auto"/>
        </w:rPr>
        <w:t>①</w:t>
      </w:r>
      <w:r>
        <w:rPr>
          <w:rFonts w:hAnsi="宋体"/>
          <w:snapToGrid w:val="0"/>
          <w:color w:val="auto"/>
          <w:spacing w:val="-6"/>
          <w:kern w:val="21"/>
        </w:rPr>
        <w:fldChar w:fldCharType="end"/>
      </w:r>
      <w:r>
        <w:rPr>
          <w:rFonts w:hAnsi="宋体"/>
          <w:snapToGrid w:val="0"/>
          <w:color w:val="auto"/>
          <w:spacing w:val="-6"/>
          <w:kern w:val="21"/>
        </w:rPr>
        <w:t>+</w:t>
      </w:r>
      <w:r>
        <w:rPr>
          <w:rFonts w:hAnsi="宋体"/>
          <w:snapToGrid w:val="0"/>
          <w:color w:val="auto"/>
          <w:spacing w:val="-6"/>
          <w:kern w:val="21"/>
        </w:rPr>
        <w:fldChar w:fldCharType="begin"/>
      </w:r>
      <w:r>
        <w:rPr>
          <w:rFonts w:hAnsi="宋体"/>
          <w:snapToGrid w:val="0"/>
          <w:color w:val="auto"/>
          <w:spacing w:val="-6"/>
          <w:kern w:val="21"/>
        </w:rPr>
        <w:instrText xml:space="preserve"> = 3 \* GB3 \* MERGEFORMAT </w:instrText>
      </w:r>
      <w:r>
        <w:rPr>
          <w:rFonts w:hAnsi="宋体"/>
          <w:snapToGrid w:val="0"/>
          <w:color w:val="auto"/>
          <w:spacing w:val="-6"/>
          <w:kern w:val="21"/>
        </w:rPr>
        <w:fldChar w:fldCharType="separate"/>
      </w:r>
      <w:r>
        <w:rPr>
          <w:rFonts w:hint="eastAsia" w:hAnsi="宋体"/>
          <w:color w:val="auto"/>
        </w:rPr>
        <w:t>③</w:t>
      </w:r>
      <w:r>
        <w:rPr>
          <w:rFonts w:hAnsi="宋体"/>
          <w:snapToGrid w:val="0"/>
          <w:color w:val="auto"/>
          <w:spacing w:val="-6"/>
          <w:kern w:val="21"/>
        </w:rPr>
        <w:fldChar w:fldCharType="end"/>
      </w:r>
      <w:r>
        <w:rPr>
          <w:rFonts w:hAnsi="宋体"/>
          <w:snapToGrid w:val="0"/>
          <w:color w:val="auto"/>
          <w:spacing w:val="-6"/>
          <w:kern w:val="21"/>
        </w:rPr>
        <w:t>+</w:t>
      </w:r>
      <w:r>
        <w:rPr>
          <w:rFonts w:hAnsi="宋体"/>
          <w:snapToGrid w:val="0"/>
          <w:color w:val="auto"/>
          <w:spacing w:val="-6"/>
          <w:kern w:val="21"/>
        </w:rPr>
        <w:fldChar w:fldCharType="begin"/>
      </w:r>
      <w:r>
        <w:rPr>
          <w:rFonts w:hAnsi="宋体"/>
          <w:snapToGrid w:val="0"/>
          <w:color w:val="auto"/>
          <w:spacing w:val="-6"/>
          <w:kern w:val="21"/>
        </w:rPr>
        <w:instrText xml:space="preserve"> = 4 \* GB3 \* MERGEFORMAT </w:instrText>
      </w:r>
      <w:r>
        <w:rPr>
          <w:rFonts w:hAnsi="宋体"/>
          <w:snapToGrid w:val="0"/>
          <w:color w:val="auto"/>
          <w:spacing w:val="-6"/>
          <w:kern w:val="21"/>
        </w:rPr>
        <w:fldChar w:fldCharType="separate"/>
      </w:r>
      <w:r>
        <w:rPr>
          <w:rFonts w:hint="eastAsia" w:hAnsi="宋体"/>
          <w:color w:val="auto"/>
        </w:rPr>
        <w:t>④</w:t>
      </w:r>
      <w:r>
        <w:rPr>
          <w:rFonts w:hAnsi="宋体"/>
          <w:snapToGrid w:val="0"/>
          <w:color w:val="auto"/>
          <w:spacing w:val="-6"/>
          <w:kern w:val="21"/>
        </w:rPr>
        <w:fldChar w:fldCharType="end"/>
      </w:r>
      <w:r>
        <w:rPr>
          <w:rFonts w:hAnsi="宋体"/>
          <w:snapToGrid w:val="0"/>
          <w:color w:val="auto"/>
          <w:spacing w:val="-6"/>
          <w:kern w:val="21"/>
        </w:rPr>
        <w:t>-</w:t>
      </w:r>
      <w:r>
        <w:rPr>
          <w:rFonts w:hAnsi="宋体"/>
          <w:snapToGrid w:val="0"/>
          <w:color w:val="auto"/>
          <w:spacing w:val="-16"/>
          <w:kern w:val="21"/>
        </w:rPr>
        <w:fldChar w:fldCharType="begin"/>
      </w:r>
      <w:r>
        <w:rPr>
          <w:rFonts w:hAnsi="宋体"/>
          <w:snapToGrid w:val="0"/>
          <w:color w:val="auto"/>
          <w:spacing w:val="-16"/>
          <w:kern w:val="21"/>
        </w:rPr>
        <w:instrText xml:space="preserve"> = 5 \* GB3 \* MERGEFORMAT </w:instrText>
      </w:r>
      <w:r>
        <w:rPr>
          <w:rFonts w:hAnsi="宋体"/>
          <w:snapToGrid w:val="0"/>
          <w:color w:val="auto"/>
          <w:spacing w:val="-16"/>
          <w:kern w:val="21"/>
        </w:rPr>
        <w:fldChar w:fldCharType="separate"/>
      </w:r>
      <w:r>
        <w:rPr>
          <w:rFonts w:hint="eastAsia" w:hAnsi="宋体"/>
          <w:color w:val="auto"/>
        </w:rPr>
        <w:t>⑤</w:t>
      </w:r>
      <w:r>
        <w:rPr>
          <w:rFonts w:hAnsi="宋体"/>
          <w:snapToGrid w:val="0"/>
          <w:color w:val="auto"/>
          <w:spacing w:val="-16"/>
          <w:kern w:val="21"/>
        </w:rPr>
        <w:fldChar w:fldCharType="end"/>
      </w:r>
      <w:r>
        <w:rPr>
          <w:rFonts w:hAnsi="宋体"/>
          <w:snapToGrid w:val="0"/>
          <w:color w:val="auto"/>
          <w:spacing w:val="-16"/>
          <w:kern w:val="21"/>
        </w:rPr>
        <w:t>；</w:t>
      </w:r>
      <w:r>
        <w:rPr>
          <w:rFonts w:hAnsi="宋体"/>
          <w:snapToGrid w:val="0"/>
          <w:color w:val="auto"/>
          <w:spacing w:val="-6"/>
          <w:kern w:val="21"/>
        </w:rPr>
        <w:fldChar w:fldCharType="begin"/>
      </w:r>
      <w:r>
        <w:rPr>
          <w:rFonts w:hAnsi="宋体"/>
          <w:snapToGrid w:val="0"/>
          <w:color w:val="auto"/>
          <w:spacing w:val="-6"/>
          <w:kern w:val="21"/>
        </w:rPr>
        <w:instrText xml:space="preserve"> = 7 \* GB3 \* MERGEFORMAT </w:instrText>
      </w:r>
      <w:r>
        <w:rPr>
          <w:rFonts w:hAnsi="宋体"/>
          <w:snapToGrid w:val="0"/>
          <w:color w:val="auto"/>
          <w:spacing w:val="-6"/>
          <w:kern w:val="21"/>
        </w:rPr>
        <w:fldChar w:fldCharType="separate"/>
      </w:r>
      <w:r>
        <w:rPr>
          <w:rFonts w:hint="eastAsia" w:hAnsi="宋体"/>
          <w:color w:val="auto"/>
        </w:rPr>
        <w:t>⑦</w:t>
      </w:r>
      <w:r>
        <w:rPr>
          <w:rFonts w:hAnsi="宋体"/>
          <w:snapToGrid w:val="0"/>
          <w:color w:val="auto"/>
          <w:spacing w:val="-6"/>
          <w:kern w:val="21"/>
        </w:rPr>
        <w:fldChar w:fldCharType="end"/>
      </w:r>
      <w:r>
        <w:rPr>
          <w:rFonts w:hAnsi="宋体"/>
          <w:snapToGrid w:val="0"/>
          <w:color w:val="auto"/>
          <w:spacing w:val="-6"/>
          <w:kern w:val="21"/>
        </w:rPr>
        <w:t>=</w:t>
      </w:r>
      <w:r>
        <w:rPr>
          <w:rFonts w:hAnsi="宋体"/>
          <w:snapToGrid w:val="0"/>
          <w:color w:val="auto"/>
          <w:spacing w:val="-16"/>
          <w:kern w:val="21"/>
        </w:rPr>
        <w:fldChar w:fldCharType="begin"/>
      </w:r>
      <w:r>
        <w:rPr>
          <w:rFonts w:hAnsi="宋体"/>
          <w:snapToGrid w:val="0"/>
          <w:color w:val="auto"/>
          <w:spacing w:val="-16"/>
          <w:kern w:val="21"/>
        </w:rPr>
        <w:instrText xml:space="preserve"> = 6 \* GB3 \* MERGEFORMAT </w:instrText>
      </w:r>
      <w:r>
        <w:rPr>
          <w:rFonts w:hAnsi="宋体"/>
          <w:snapToGrid w:val="0"/>
          <w:color w:val="auto"/>
          <w:spacing w:val="-16"/>
          <w:kern w:val="21"/>
        </w:rPr>
        <w:fldChar w:fldCharType="separate"/>
      </w:r>
      <w:r>
        <w:rPr>
          <w:rFonts w:hint="eastAsia" w:hAnsi="宋体"/>
          <w:color w:val="auto"/>
        </w:rPr>
        <w:t>⑥</w:t>
      </w:r>
      <w:r>
        <w:rPr>
          <w:rFonts w:hAnsi="宋体"/>
          <w:snapToGrid w:val="0"/>
          <w:color w:val="auto"/>
          <w:spacing w:val="-16"/>
          <w:kern w:val="21"/>
        </w:rPr>
        <w:fldChar w:fldCharType="end"/>
      </w:r>
      <w:r>
        <w:rPr>
          <w:rFonts w:hAnsi="宋体"/>
          <w:snapToGrid w:val="0"/>
          <w:color w:val="auto"/>
          <w:spacing w:val="-16"/>
          <w:kern w:val="21"/>
        </w:rPr>
        <w:t>-</w:t>
      </w:r>
      <w:r>
        <w:rPr>
          <w:rFonts w:hAnsi="宋体"/>
          <w:snapToGrid w:val="0"/>
          <w:color w:val="auto"/>
          <w:spacing w:val="-6"/>
          <w:kern w:val="21"/>
        </w:rPr>
        <w:fldChar w:fldCharType="begin"/>
      </w:r>
      <w:r>
        <w:rPr>
          <w:rFonts w:hAnsi="宋体"/>
          <w:snapToGrid w:val="0"/>
          <w:color w:val="auto"/>
          <w:spacing w:val="-6"/>
          <w:kern w:val="21"/>
        </w:rPr>
        <w:instrText xml:space="preserve"> = 1 \* GB3 \* MERGEFORMAT </w:instrText>
      </w:r>
      <w:r>
        <w:rPr>
          <w:rFonts w:hAnsi="宋体"/>
          <w:snapToGrid w:val="0"/>
          <w:color w:val="auto"/>
          <w:spacing w:val="-6"/>
          <w:kern w:val="21"/>
        </w:rPr>
        <w:fldChar w:fldCharType="separate"/>
      </w:r>
      <w:r>
        <w:rPr>
          <w:rFonts w:hint="eastAsia" w:hAnsi="宋体"/>
          <w:color w:val="auto"/>
        </w:rPr>
        <w:t>①</w:t>
      </w:r>
      <w:r>
        <w:rPr>
          <w:rFonts w:hAnsi="宋体"/>
          <w:snapToGrid w:val="0"/>
          <w:color w:val="auto"/>
          <w:spacing w:val="-6"/>
          <w:kern w:val="21"/>
        </w:rPr>
        <w:fldChar w:fldCharType="end"/>
      </w:r>
    </w:p>
    <w:p w14:paraId="4F7F830E">
      <w:pPr>
        <w:ind w:firstLine="480"/>
        <w:rPr>
          <w:color w:val="auto"/>
        </w:rPr>
      </w:pPr>
    </w:p>
    <w:p w14:paraId="69D38E32">
      <w:pPr>
        <w:ind w:firstLine="480"/>
        <w:rPr>
          <w:color w:val="auto"/>
        </w:rPr>
        <w:sectPr>
          <w:footerReference r:id="rId8" w:type="default"/>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50BA0948">
      <w:pPr>
        <w:pStyle w:val="2"/>
        <w:ind w:left="0"/>
        <w:rPr>
          <w:rFonts w:hint="eastAsia" w:eastAsia="黑体"/>
          <w:color w:val="auto"/>
          <w:lang w:val="en-US" w:eastAsia="zh-CN"/>
        </w:rPr>
      </w:pPr>
      <w:bookmarkStart w:id="11" w:name="_Toc24583"/>
      <w:r>
        <w:rPr>
          <w:rFonts w:hint="eastAsia"/>
          <w:color w:val="auto"/>
          <w:lang w:val="en-US" w:eastAsia="zh-CN"/>
        </w:rPr>
        <w:t>附图</w:t>
      </w:r>
      <w:bookmarkEnd w:id="11"/>
    </w:p>
    <w:p w14:paraId="7402F365">
      <w:pPr>
        <w:pStyle w:val="2"/>
        <w:ind w:left="0"/>
        <w:rPr>
          <w:color w:val="auto"/>
        </w:rPr>
      </w:pPr>
      <w:bookmarkStart w:id="12" w:name="_Toc10317"/>
      <w:r>
        <w:rPr>
          <w:rFonts w:hint="eastAsia"/>
          <w:color w:val="auto"/>
        </w:rPr>
        <w:t>附图1 项目地理位置图</w:t>
      </w:r>
      <w:bookmarkEnd w:id="12"/>
    </w:p>
    <w:p w14:paraId="304064BA">
      <w:pPr>
        <w:ind w:firstLine="0" w:firstLineChars="0"/>
        <w:jc w:val="center"/>
        <w:rPr>
          <w:color w:val="auto"/>
        </w:rPr>
        <w:sectPr>
          <w:footerReference r:id="rId9" w:type="default"/>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color w:val="auto"/>
        </w:rPr>
        <w:drawing>
          <wp:anchor distT="0" distB="0" distL="114300" distR="114300" simplePos="0" relativeHeight="251672576" behindDoc="0" locked="0" layoutInCell="1" allowOverlap="1">
            <wp:simplePos x="0" y="0"/>
            <wp:positionH relativeFrom="column">
              <wp:posOffset>7988300</wp:posOffset>
            </wp:positionH>
            <wp:positionV relativeFrom="paragraph">
              <wp:posOffset>7620</wp:posOffset>
            </wp:positionV>
            <wp:extent cx="495935" cy="489585"/>
            <wp:effectExtent l="0" t="0" r="18415" b="5715"/>
            <wp:wrapNone/>
            <wp:docPr id="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
                    <pic:cNvPicPr>
                      <a:picLocks noChangeAspect="1"/>
                    </pic:cNvPicPr>
                  </pic:nvPicPr>
                  <pic:blipFill>
                    <a:blip r:embed="rId27"/>
                    <a:stretch>
                      <a:fillRect/>
                    </a:stretch>
                  </pic:blipFill>
                  <pic:spPr>
                    <a:xfrm>
                      <a:off x="0" y="0"/>
                      <a:ext cx="495935" cy="489585"/>
                    </a:xfrm>
                    <a:prstGeom prst="rect">
                      <a:avLst/>
                    </a:prstGeom>
                    <a:noFill/>
                    <a:ln>
                      <a:noFill/>
                    </a:ln>
                  </pic:spPr>
                </pic:pic>
              </a:graphicData>
            </a:graphic>
          </wp:anchor>
        </w:drawing>
      </w:r>
      <w:r>
        <w:rPr>
          <w:color w:val="auto"/>
        </w:rPr>
        <mc:AlternateContent>
          <mc:Choice Requires="wps">
            <w:drawing>
              <wp:anchor distT="0" distB="0" distL="114300" distR="114300" simplePos="0" relativeHeight="251660288" behindDoc="0" locked="0" layoutInCell="1" allowOverlap="1">
                <wp:simplePos x="0" y="0"/>
                <wp:positionH relativeFrom="column">
                  <wp:posOffset>3723005</wp:posOffset>
                </wp:positionH>
                <wp:positionV relativeFrom="paragraph">
                  <wp:posOffset>2561590</wp:posOffset>
                </wp:positionV>
                <wp:extent cx="914400" cy="611505"/>
                <wp:effectExtent l="313055" t="0" r="10795" b="17145"/>
                <wp:wrapNone/>
                <wp:docPr id="9" name="矩形标注 9"/>
                <wp:cNvGraphicFramePr/>
                <a:graphic xmlns:a="http://schemas.openxmlformats.org/drawingml/2006/main">
                  <a:graphicData uri="http://schemas.microsoft.com/office/word/2010/wordprocessingShape">
                    <wps:wsp>
                      <wps:cNvSpPr/>
                      <wps:spPr>
                        <a:xfrm>
                          <a:off x="6055360" y="4072890"/>
                          <a:ext cx="914400" cy="611505"/>
                        </a:xfrm>
                        <a:prstGeom prst="wedgeRectCallout">
                          <a:avLst>
                            <a:gd name="adj1" fmla="val -84236"/>
                            <a:gd name="adj2" fmla="val 41692"/>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6728AA58">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93.15pt;margin-top:201.7pt;height:48.15pt;width:72pt;z-index:251660288;v-text-anchor:middle;mso-width-relative:page;mso-height-relative:page;" fillcolor="#FFFFFF [3212]" filled="t" stroked="f" coordsize="21600,21600" o:gfxdata="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IYS+jvaAAAACwEAAA8AAAAAAAAAAQAgAAAAIgAAAGRycy9kb3ducmV2&#10;LnhtbFBLAQIUABQAAAAIAIdO4kAeR/TppQIAAC4FAAAOAAAAAAAAAAEAIAAAACkBAABkcnMvZTJv&#10;RG9jLnhtbFBLBQYAAAAABgAGAFkBAABABgAAAAA=&#10;" adj="-7395,19805">
                <v:fill on="t" focussize="0,0"/>
                <v:stroke on="f" weight="2pt"/>
                <v:imagedata o:title=""/>
                <o:lock v:ext="edit" aspectratio="f"/>
                <v:textbox>
                  <w:txbxContent>
                    <w:p w14:paraId="6728AA58">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本项目所在地</w:t>
                      </w:r>
                    </w:p>
                  </w:txbxContent>
                </v:textbox>
              </v:shape>
            </w:pict>
          </mc:Fallback>
        </mc:AlternateContent>
      </w:r>
      <w:r>
        <w:rPr>
          <w:color w:val="auto"/>
        </w:rPr>
        <mc:AlternateContent>
          <mc:Choice Requires="wps">
            <w:drawing>
              <wp:anchor distT="0" distB="0" distL="114300" distR="114300" simplePos="0" relativeHeight="251659264" behindDoc="0" locked="0" layoutInCell="1" allowOverlap="1">
                <wp:simplePos x="0" y="0"/>
                <wp:positionH relativeFrom="column">
                  <wp:posOffset>3329940</wp:posOffset>
                </wp:positionH>
                <wp:positionV relativeFrom="paragraph">
                  <wp:posOffset>3129280</wp:posOffset>
                </wp:positionV>
                <wp:extent cx="79375" cy="79375"/>
                <wp:effectExtent l="12700" t="12700" r="22225" b="22225"/>
                <wp:wrapNone/>
                <wp:docPr id="8" name="五角星 8"/>
                <wp:cNvGraphicFramePr/>
                <a:graphic xmlns:a="http://schemas.openxmlformats.org/drawingml/2006/main">
                  <a:graphicData uri="http://schemas.microsoft.com/office/word/2010/wordprocessingShape">
                    <wps:wsp>
                      <wps:cNvSpPr/>
                      <wps:spPr>
                        <a:xfrm>
                          <a:off x="5626735" y="5033010"/>
                          <a:ext cx="79375" cy="79375"/>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2.2pt;margin-top:246.4pt;height:6.25pt;width:6.25pt;z-index:251659264;v-text-anchor:middle;mso-width-relative:page;mso-height-relative:page;" fillcolor="#FF0000" filled="t" stroked="t" coordsize="79375,79375" o:gfxdata="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QUZZw2gAAAAsBAAAPAAAAAAAAAAEAIAAAACIAAABkcnMvZG93bnJl&#10;di54bWxQSwECFAAUAAAACACHTuJA3NRroW0CAADqBAAADgAAAAAAAAABACAAAAApAQAAZHJzL2Uy&#10;b0RvYy54bWxQSwUGAAAAAAYABgBZAQAACAYAAAAA&#10;" path="m0,30318l30318,30318,39687,0,49056,30318,79374,30318,54846,49056,64215,79374,39687,60636,15159,79374,24528,49056xe">
                <v:path o:connectlocs="39687,0;0,30318;15159,79374;64215,79374;79374,30318" o:connectangles="247,164,82,82,0"/>
                <v:fill on="t" focussize="0,0"/>
                <v:stroke weight="2pt" color="#FF0000 [2404]" joinstyle="round"/>
                <v:imagedata o:title=""/>
                <o:lock v:ext="edit" aspectratio="f"/>
              </v:shape>
            </w:pict>
          </mc:Fallback>
        </mc:AlternateContent>
      </w:r>
      <w:r>
        <w:rPr>
          <w:color w:val="auto"/>
        </w:rPr>
        <w:drawing>
          <wp:inline distT="0" distB="0" distL="114300" distR="114300">
            <wp:extent cx="8518525" cy="4691380"/>
            <wp:effectExtent l="0" t="0" r="15875" b="13970"/>
            <wp:docPr id="6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7"/>
                    <pic:cNvPicPr>
                      <a:picLocks noChangeAspect="1"/>
                    </pic:cNvPicPr>
                  </pic:nvPicPr>
                  <pic:blipFill>
                    <a:blip r:embed="rId28"/>
                    <a:stretch>
                      <a:fillRect/>
                    </a:stretch>
                  </pic:blipFill>
                  <pic:spPr>
                    <a:xfrm>
                      <a:off x="0" y="0"/>
                      <a:ext cx="8518525" cy="4691380"/>
                    </a:xfrm>
                    <a:prstGeom prst="rect">
                      <a:avLst/>
                    </a:prstGeom>
                    <a:noFill/>
                    <a:ln>
                      <a:noFill/>
                    </a:ln>
                  </pic:spPr>
                </pic:pic>
              </a:graphicData>
            </a:graphic>
          </wp:inline>
        </w:drawing>
      </w:r>
    </w:p>
    <w:p w14:paraId="3164F0F0">
      <w:pPr>
        <w:pStyle w:val="2"/>
        <w:ind w:left="0"/>
        <w:rPr>
          <w:color w:val="auto"/>
        </w:rPr>
      </w:pPr>
      <w:bookmarkStart w:id="13" w:name="_Toc4280"/>
      <w:r>
        <w:rPr>
          <w:rFonts w:hint="eastAsia"/>
          <w:color w:val="auto"/>
        </w:rPr>
        <w:t>附图2 厂区平面布置图</w:t>
      </w:r>
      <w:bookmarkEnd w:id="13"/>
    </w:p>
    <w:p w14:paraId="087BF7F7">
      <w:pPr>
        <w:ind w:firstLine="0" w:firstLineChars="0"/>
        <w:jc w:val="center"/>
        <w:rPr>
          <w:color w:val="auto"/>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color w:val="auto"/>
          <w:sz w:val="24"/>
        </w:rPr>
        <mc:AlternateContent>
          <mc:Choice Requires="wps">
            <w:drawing>
              <wp:anchor distT="0" distB="0" distL="114300" distR="114300" simplePos="0" relativeHeight="251678720" behindDoc="0" locked="0" layoutInCell="1" allowOverlap="1">
                <wp:simplePos x="0" y="0"/>
                <wp:positionH relativeFrom="column">
                  <wp:posOffset>4855210</wp:posOffset>
                </wp:positionH>
                <wp:positionV relativeFrom="paragraph">
                  <wp:posOffset>3602355</wp:posOffset>
                </wp:positionV>
                <wp:extent cx="1153795" cy="296545"/>
                <wp:effectExtent l="366395" t="327025" r="22860" b="5080"/>
                <wp:wrapNone/>
                <wp:docPr id="58" name="矩形标注 58"/>
                <wp:cNvGraphicFramePr/>
                <a:graphic xmlns:a="http://schemas.openxmlformats.org/drawingml/2006/main">
                  <a:graphicData uri="http://schemas.microsoft.com/office/word/2010/wordprocessingShape">
                    <wps:wsp>
                      <wps:cNvSpPr/>
                      <wps:spPr>
                        <a:xfrm>
                          <a:off x="5702935" y="4406265"/>
                          <a:ext cx="1153795" cy="296545"/>
                        </a:xfrm>
                        <a:prstGeom prst="wedgeRectCallout">
                          <a:avLst>
                            <a:gd name="adj1" fmla="val -81370"/>
                            <a:gd name="adj2" fmla="val -158779"/>
                          </a:avLst>
                        </a:prstGeom>
                        <a:solidFill>
                          <a:schemeClr val="bg1"/>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A804879">
                            <w:pPr>
                              <w:ind w:left="0" w:leftChars="0" w:firstLine="0" w:firstLineChars="0"/>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DA001排气筒</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82.3pt;margin-top:283.65pt;height:23.35pt;width:90.85pt;z-index:251678720;v-text-anchor:middle;mso-width-relative:page;mso-height-relative:page;" fillcolor="#FFFFFF [3212]" filled="t" stroked="t" coordsize="21600,21600" o:gfxdata="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q9eezNkAAAALAQAADwAAAAAAAAABACAAAAAiAAAA&#10;ZHJzL2Rvd25yZXYueG1sUEsBAhQAFAAAAAgAh07iQL3S2nixAgAAWwUAAA4AAAAAAAAAAQAgAAAA&#10;KAEAAGRycy9lMm9Eb2MueG1sUEsFBgAAAAAGAAYAWQEAAEsGAAAAAA==&#10;" adj="-6776,-23496">
                <v:fill on="t" focussize="0,0"/>
                <v:stroke weight="0.5pt" color="#000000 [3213]" joinstyle="round"/>
                <v:imagedata o:title=""/>
                <o:lock v:ext="edit" aspectratio="f"/>
                <v:textbox>
                  <w:txbxContent>
                    <w:p w14:paraId="3A804879">
                      <w:pPr>
                        <w:ind w:left="0" w:leftChars="0" w:firstLine="0" w:firstLineChars="0"/>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DA001排气筒</w:t>
                      </w:r>
                    </w:p>
                  </w:txbxContent>
                </v:textbox>
              </v:shape>
            </w:pict>
          </mc:Fallback>
        </mc:AlternateContent>
      </w:r>
      <w:r>
        <w:rPr>
          <w:color w:val="auto"/>
          <w:sz w:val="24"/>
        </w:rPr>
        <mc:AlternateContent>
          <mc:Choice Requires="wps">
            <w:drawing>
              <wp:anchor distT="0" distB="0" distL="114300" distR="114300" simplePos="0" relativeHeight="251677696" behindDoc="0" locked="0" layoutInCell="1" allowOverlap="1">
                <wp:simplePos x="0" y="0"/>
                <wp:positionH relativeFrom="column">
                  <wp:posOffset>4283710</wp:posOffset>
                </wp:positionH>
                <wp:positionV relativeFrom="paragraph">
                  <wp:posOffset>3128645</wp:posOffset>
                </wp:positionV>
                <wp:extent cx="137795" cy="137795"/>
                <wp:effectExtent l="9525" t="9525" r="24130" b="24130"/>
                <wp:wrapNone/>
                <wp:docPr id="38" name="矩形 38"/>
                <wp:cNvGraphicFramePr/>
                <a:graphic xmlns:a="http://schemas.openxmlformats.org/drawingml/2006/main">
                  <a:graphicData uri="http://schemas.microsoft.com/office/word/2010/wordprocessingShape">
                    <wps:wsp>
                      <wps:cNvSpPr/>
                      <wps:spPr>
                        <a:xfrm>
                          <a:off x="5363845" y="4545965"/>
                          <a:ext cx="137795" cy="137795"/>
                        </a:xfrm>
                        <a:prstGeom prst="rect">
                          <a:avLst/>
                        </a:pr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37.3pt;margin-top:246.35pt;height:10.85pt;width:10.85pt;z-index:251677696;v-text-anchor:middle;mso-width-relative:page;mso-height-relative:page;" filled="f" stroked="t" coordsize="21600,21600" o:gfxdata="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7HVoz2gAAAAsBAAAPAAAAAAAAAAEAIAAAACIAAABkcnMvZG93bnJldi54&#10;bWxQSwECFAAUAAAACACHTuJAvoAGEGoCAADBBAAADgAAAAAAAAABACAAAAApAQAAZHJzL2Uyb0Rv&#10;Yy54bWxQSwUGAAAAAAYABgBZAQAABQYAAAAA&#10;">
                <v:fill on="f" focussize="0,0"/>
                <v:stroke weight="1.5pt" color="#FF0000 [2404]" joinstyle="round"/>
                <v:imagedata o:title=""/>
                <o:lock v:ext="edit" aspectratio="f"/>
              </v:rect>
            </w:pict>
          </mc:Fallback>
        </mc:AlternateContent>
      </w:r>
      <w:r>
        <w:rPr>
          <w:color w:val="auto"/>
        </w:rPr>
        <w:drawing>
          <wp:anchor distT="0" distB="0" distL="114300" distR="114300" simplePos="0" relativeHeight="251662336" behindDoc="0" locked="0" layoutInCell="1" allowOverlap="1">
            <wp:simplePos x="0" y="0"/>
            <wp:positionH relativeFrom="column">
              <wp:posOffset>7604125</wp:posOffset>
            </wp:positionH>
            <wp:positionV relativeFrom="paragraph">
              <wp:posOffset>24130</wp:posOffset>
            </wp:positionV>
            <wp:extent cx="471805" cy="603885"/>
            <wp:effectExtent l="0" t="0" r="5715" b="0"/>
            <wp:wrapNone/>
            <wp:docPr id="12" name="图片 12" descr="黑色箭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黑色箭头"/>
                    <pic:cNvPicPr>
                      <a:picLocks noChangeAspect="1"/>
                    </pic:cNvPicPr>
                  </pic:nvPicPr>
                  <pic:blipFill>
                    <a:blip r:embed="rId29"/>
                    <a:stretch>
                      <a:fillRect/>
                    </a:stretch>
                  </pic:blipFill>
                  <pic:spPr>
                    <a:xfrm rot="5400000">
                      <a:off x="0" y="0"/>
                      <a:ext cx="471805" cy="603885"/>
                    </a:xfrm>
                    <a:prstGeom prst="rect">
                      <a:avLst/>
                    </a:prstGeom>
                  </pic:spPr>
                </pic:pic>
              </a:graphicData>
            </a:graphic>
          </wp:anchor>
        </w:drawing>
      </w:r>
      <w:r>
        <w:rPr>
          <w:color w:val="auto"/>
        </w:rPr>
        <w:drawing>
          <wp:inline distT="0" distB="0" distL="114300" distR="114300">
            <wp:extent cx="8148320" cy="5027295"/>
            <wp:effectExtent l="0" t="0" r="5080" b="1905"/>
            <wp:docPr id="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
                    <pic:cNvPicPr>
                      <a:picLocks noChangeAspect="1"/>
                    </pic:cNvPicPr>
                  </pic:nvPicPr>
                  <pic:blipFill>
                    <a:blip r:embed="rId30"/>
                    <a:stretch>
                      <a:fillRect/>
                    </a:stretch>
                  </pic:blipFill>
                  <pic:spPr>
                    <a:xfrm>
                      <a:off x="0" y="0"/>
                      <a:ext cx="8148320" cy="5027295"/>
                    </a:xfrm>
                    <a:prstGeom prst="rect">
                      <a:avLst/>
                    </a:prstGeom>
                    <a:noFill/>
                    <a:ln>
                      <a:noFill/>
                    </a:ln>
                  </pic:spPr>
                </pic:pic>
              </a:graphicData>
            </a:graphic>
          </wp:inline>
        </w:drawing>
      </w:r>
    </w:p>
    <w:p w14:paraId="16E46ADE">
      <w:pPr>
        <w:pStyle w:val="2"/>
        <w:ind w:left="0"/>
        <w:rPr>
          <w:color w:val="auto"/>
        </w:rPr>
      </w:pPr>
      <w:bookmarkStart w:id="14" w:name="_Toc28401"/>
      <w:r>
        <w:rPr>
          <w:rFonts w:hint="eastAsia"/>
          <w:color w:val="auto"/>
        </w:rPr>
        <w:t>附图3 环境保护目标分布图</w:t>
      </w:r>
      <w:bookmarkEnd w:id="14"/>
    </w:p>
    <w:p w14:paraId="53E47999">
      <w:pPr>
        <w:ind w:firstLine="0" w:firstLineChars="0"/>
        <w:jc w:val="center"/>
        <w:rPr>
          <w:color w:val="auto"/>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color w:val="auto"/>
        </w:rPr>
        <w:drawing>
          <wp:anchor distT="0" distB="0" distL="114300" distR="114300" simplePos="0" relativeHeight="251674624" behindDoc="0" locked="0" layoutInCell="1" allowOverlap="1">
            <wp:simplePos x="0" y="0"/>
            <wp:positionH relativeFrom="column">
              <wp:posOffset>7964170</wp:posOffset>
            </wp:positionH>
            <wp:positionV relativeFrom="paragraph">
              <wp:posOffset>52070</wp:posOffset>
            </wp:positionV>
            <wp:extent cx="495935" cy="489585"/>
            <wp:effectExtent l="0" t="0" r="18415" b="5715"/>
            <wp:wrapNone/>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27"/>
                    <a:stretch>
                      <a:fillRect/>
                    </a:stretch>
                  </pic:blipFill>
                  <pic:spPr>
                    <a:xfrm>
                      <a:off x="0" y="0"/>
                      <a:ext cx="495935" cy="489585"/>
                    </a:xfrm>
                    <a:prstGeom prst="rect">
                      <a:avLst/>
                    </a:prstGeom>
                    <a:noFill/>
                    <a:ln>
                      <a:noFill/>
                    </a:ln>
                  </pic:spPr>
                </pic:pic>
              </a:graphicData>
            </a:graphic>
          </wp:anchor>
        </w:drawing>
      </w:r>
      <w:r>
        <w:rPr>
          <w:color w:val="auto"/>
        </w:rPr>
        <mc:AlternateContent>
          <mc:Choice Requires="wps">
            <w:drawing>
              <wp:anchor distT="0" distB="0" distL="114300" distR="114300" simplePos="0" relativeHeight="251673600" behindDoc="0" locked="0" layoutInCell="1" allowOverlap="1">
                <wp:simplePos x="0" y="0"/>
                <wp:positionH relativeFrom="column">
                  <wp:posOffset>3634105</wp:posOffset>
                </wp:positionH>
                <wp:positionV relativeFrom="paragraph">
                  <wp:posOffset>1815465</wp:posOffset>
                </wp:positionV>
                <wp:extent cx="1426210" cy="287655"/>
                <wp:effectExtent l="0" t="0" r="0" b="0"/>
                <wp:wrapNone/>
                <wp:docPr id="57" name="文本框 57"/>
                <wp:cNvGraphicFramePr/>
                <a:graphic xmlns:a="http://schemas.openxmlformats.org/drawingml/2006/main">
                  <a:graphicData uri="http://schemas.microsoft.com/office/word/2010/wordprocessingShape">
                    <wps:wsp>
                      <wps:cNvSpPr txBox="1"/>
                      <wps:spPr>
                        <a:xfrm>
                          <a:off x="3776980" y="5239385"/>
                          <a:ext cx="1426210" cy="2876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EFE1A0">
                            <w:pPr>
                              <w:ind w:firstLine="0" w:firstLineChars="0"/>
                              <w:rPr>
                                <w:b/>
                                <w:bCs/>
                                <w:color w:val="FFFF00"/>
                              </w:rPr>
                            </w:pPr>
                            <w:r>
                              <w:rPr>
                                <w:rFonts w:hint="eastAsia"/>
                                <w:b/>
                                <w:bCs/>
                                <w:color w:val="FFFF00"/>
                              </w:rPr>
                              <w:t>紫域·白莲国际城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6.15pt;margin-top:142.95pt;height:22.65pt;width:112.3pt;z-index:251673600;mso-width-relative:page;mso-height-relative:page;" filled="f" stroked="f" coordsize="21600,21600" o:gfxdata="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prnJg3QAAAAsBAAAPAAAA&#10;AAAAAAEAIAAAACIAAABkcnMvZG93bnJldi54bWxQSwECFAAUAAAACACHTuJADRi2aEkCAAB0BAAA&#10;DgAAAAAAAAABACAAAAAsAQAAZHJzL2Uyb0RvYy54bWxQSwUGAAAAAAYABgBZAQAA5wUAAAAA&#10;">
                <v:fill on="f" focussize="0,0"/>
                <v:stroke on="f" weight="0.5pt"/>
                <v:imagedata o:title=""/>
                <o:lock v:ext="edit" aspectratio="f"/>
                <v:textbox>
                  <w:txbxContent>
                    <w:p w14:paraId="2FEFE1A0">
                      <w:pPr>
                        <w:ind w:firstLine="0" w:firstLineChars="0"/>
                        <w:rPr>
                          <w:b/>
                          <w:bCs/>
                          <w:color w:val="FFFF00"/>
                        </w:rPr>
                      </w:pPr>
                      <w:r>
                        <w:rPr>
                          <w:rFonts w:hint="eastAsia"/>
                          <w:b/>
                          <w:bCs/>
                          <w:color w:val="FFFF00"/>
                        </w:rPr>
                        <w:t>紫域·白莲国际城</w:t>
                      </w:r>
                    </w:p>
                  </w:txbxContent>
                </v:textbox>
              </v:shape>
            </w:pict>
          </mc:Fallback>
        </mc:AlternateContent>
      </w:r>
      <w:r>
        <w:rPr>
          <w:color w:val="auto"/>
        </w:rPr>
        <mc:AlternateContent>
          <mc:Choice Requires="wps">
            <w:drawing>
              <wp:anchor distT="0" distB="0" distL="114300" distR="114300" simplePos="0" relativeHeight="251666432" behindDoc="0" locked="0" layoutInCell="1" allowOverlap="1">
                <wp:simplePos x="0" y="0"/>
                <wp:positionH relativeFrom="column">
                  <wp:posOffset>7175500</wp:posOffset>
                </wp:positionH>
                <wp:positionV relativeFrom="paragraph">
                  <wp:posOffset>4333875</wp:posOffset>
                </wp:positionV>
                <wp:extent cx="182245" cy="182245"/>
                <wp:effectExtent l="13970" t="13970" r="32385" b="32385"/>
                <wp:wrapNone/>
                <wp:docPr id="19" name="矩形 19"/>
                <wp:cNvGraphicFramePr/>
                <a:graphic xmlns:a="http://schemas.openxmlformats.org/drawingml/2006/main">
                  <a:graphicData uri="http://schemas.microsoft.com/office/word/2010/wordprocessingShape">
                    <wps:wsp>
                      <wps:cNvSpPr/>
                      <wps:spPr>
                        <a:xfrm>
                          <a:off x="0" y="0"/>
                          <a:ext cx="182245" cy="182245"/>
                        </a:xfrm>
                        <a:prstGeom prst="rect">
                          <a:avLst/>
                        </a:prstGeom>
                        <a:noFill/>
                        <a:ln w="2857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65pt;margin-top:341.25pt;height:14.35pt;width:14.35pt;z-index:251666432;v-text-anchor:middle;mso-width-relative:page;mso-height-relative:page;" filled="f" stroked="t" coordsize="21600,21600" o:gfxdata="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K&#10;68yx2QAAAA0BAAAPAAAAAAAAAAEAIAAAACIAAABkcnMvZG93bnJldi54bWxQSwECFAAUAAAACACH&#10;TuJAL0fr5FwCAAC1BAAADgAAAAAAAAABACAAAAAoAQAAZHJzL2Uyb0RvYy54bWxQSwUGAAAAAAYA&#10;BgBZAQAA9gUAAAAA&#10;">
                <v:fill on="f" focussize="0,0"/>
                <v:stroke weight="2.25pt" color="#FFFF00 [2404]" joinstyle="round"/>
                <v:imagedata o:title=""/>
                <o:lock v:ext="edit" aspectratio="f"/>
              </v:rect>
            </w:pict>
          </mc:Fallback>
        </mc:AlternateContent>
      </w:r>
      <w:r>
        <w:rPr>
          <w:color w:val="auto"/>
        </w:rPr>
        <mc:AlternateContent>
          <mc:Choice Requires="wps">
            <w:drawing>
              <wp:anchor distT="0" distB="0" distL="114300" distR="114300" simplePos="0" relativeHeight="251664384" behindDoc="0" locked="0" layoutInCell="1" allowOverlap="1">
                <wp:simplePos x="0" y="0"/>
                <wp:positionH relativeFrom="column">
                  <wp:posOffset>7183755</wp:posOffset>
                </wp:positionH>
                <wp:positionV relativeFrom="paragraph">
                  <wp:posOffset>4011930</wp:posOffset>
                </wp:positionV>
                <wp:extent cx="182245" cy="182245"/>
                <wp:effectExtent l="13970" t="13970" r="32385" b="32385"/>
                <wp:wrapNone/>
                <wp:docPr id="17" name="矩形 17"/>
                <wp:cNvGraphicFramePr/>
                <a:graphic xmlns:a="http://schemas.openxmlformats.org/drawingml/2006/main">
                  <a:graphicData uri="http://schemas.microsoft.com/office/word/2010/wordprocessingShape">
                    <wps:wsp>
                      <wps:cNvSpPr/>
                      <wps:spPr>
                        <a:xfrm>
                          <a:off x="4317365" y="2827655"/>
                          <a:ext cx="182245" cy="182245"/>
                        </a:xfrm>
                        <a:prstGeom prst="rect">
                          <a:avLst/>
                        </a:prstGeom>
                        <a:noFill/>
                        <a:ln w="285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65.65pt;margin-top:315.9pt;height:14.35pt;width:14.35pt;z-index:251664384;v-text-anchor:middle;mso-width-relative:page;mso-height-relative:page;" filled="f" stroked="t" coordsize="21600,21600" o:gfxdata="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d4/prYAAAADQEAAA8AAAAAAAAAAQAgAAAAIgAAAGRycy9kb3ducmV2LnhtbFBL&#10;AQIUABQAAAAIAIdO4kBTYnzMaAIAAMEEAAAOAAAAAAAAAAEAIAAAACcBAABkcnMvZTJvRG9jLnht&#10;bFBLBQYAAAAABgAGAFkBAAABBgAAAAA=&#10;">
                <v:fill on="f" focussize="0,0"/>
                <v:stroke weight="2.25pt" color="#FF0000 [2404]" joinstyle="round"/>
                <v:imagedata o:title=""/>
                <o:lock v:ext="edit" aspectratio="f"/>
              </v:rect>
            </w:pict>
          </mc:Fallback>
        </mc:AlternateContent>
      </w:r>
      <w:r>
        <w:rPr>
          <w:color w:val="auto"/>
        </w:rPr>
        <mc:AlternateContent>
          <mc:Choice Requires="wps">
            <w:drawing>
              <wp:anchor distT="0" distB="0" distL="114300" distR="114300" simplePos="0" relativeHeight="251665408" behindDoc="0" locked="0" layoutInCell="1" allowOverlap="1">
                <wp:simplePos x="0" y="0"/>
                <wp:positionH relativeFrom="column">
                  <wp:posOffset>7200265</wp:posOffset>
                </wp:positionH>
                <wp:positionV relativeFrom="paragraph">
                  <wp:posOffset>3718560</wp:posOffset>
                </wp:positionV>
                <wp:extent cx="182245" cy="182245"/>
                <wp:effectExtent l="13970" t="13970" r="32385" b="32385"/>
                <wp:wrapNone/>
                <wp:docPr id="18" name="矩形 18"/>
                <wp:cNvGraphicFramePr/>
                <a:graphic xmlns:a="http://schemas.openxmlformats.org/drawingml/2006/main">
                  <a:graphicData uri="http://schemas.microsoft.com/office/word/2010/wordprocessingShape">
                    <wps:wsp>
                      <wps:cNvSpPr/>
                      <wps:spPr>
                        <a:xfrm>
                          <a:off x="0" y="0"/>
                          <a:ext cx="182245" cy="182245"/>
                        </a:xfrm>
                        <a:prstGeom prst="rect">
                          <a:avLst/>
                        </a:prstGeom>
                        <a:noFill/>
                        <a:ln w="28575">
                          <a:solidFill>
                            <a:schemeClr val="accent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66.95pt;margin-top:292.8pt;height:14.35pt;width:14.35pt;z-index:251665408;v-text-anchor:middle;mso-width-relative:page;mso-height-relative:page;" filled="f" stroked="t" coordsize="21600,21600" o:gfxdata="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b&#10;BOg92QAAAA0BAAAPAAAAAAAAAAEAIAAAACIAAABkcnMvZG93bnJldi54bWxQSwECFAAUAAAACACH&#10;TuJAyELWE1wCAAC1BAAADgAAAAAAAAABACAAAAAoAQAAZHJzL2Uyb0RvYy54bWxQSwUGAAAAAAYA&#10;BgBZAQAA9gUAAAAA&#10;">
                <v:fill on="f" focussize="0,0"/>
                <v:stroke weight="2.25pt" color="#4F81BD [3204]" joinstyle="round"/>
                <v:imagedata o:title=""/>
                <o:lock v:ext="edit" aspectratio="f"/>
              </v:rect>
            </w:pict>
          </mc:Fallback>
        </mc:AlternateContent>
      </w:r>
      <w:r>
        <w:rPr>
          <w:color w:val="auto"/>
        </w:rPr>
        <mc:AlternateContent>
          <mc:Choice Requires="wps">
            <w:drawing>
              <wp:anchor distT="0" distB="0" distL="114300" distR="114300" simplePos="0" relativeHeight="251663360" behindDoc="0" locked="0" layoutInCell="1" allowOverlap="1">
                <wp:simplePos x="0" y="0"/>
                <wp:positionH relativeFrom="column">
                  <wp:posOffset>7065645</wp:posOffset>
                </wp:positionH>
                <wp:positionV relativeFrom="paragraph">
                  <wp:posOffset>3350260</wp:posOffset>
                </wp:positionV>
                <wp:extent cx="1312545" cy="1277620"/>
                <wp:effectExtent l="4445" t="4445" r="16510" b="13335"/>
                <wp:wrapNone/>
                <wp:docPr id="16" name="文本框 16"/>
                <wp:cNvGraphicFramePr/>
                <a:graphic xmlns:a="http://schemas.openxmlformats.org/drawingml/2006/main">
                  <a:graphicData uri="http://schemas.microsoft.com/office/word/2010/wordprocessingShape">
                    <wps:wsp>
                      <wps:cNvSpPr txBox="1"/>
                      <wps:spPr>
                        <a:xfrm>
                          <a:off x="5781040" y="3053080"/>
                          <a:ext cx="1312545" cy="12776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7FD8091">
                            <w:pPr>
                              <w:ind w:firstLine="480"/>
                            </w:pPr>
                            <w:r>
                              <w:rPr>
                                <w:rFonts w:hint="eastAsia"/>
                              </w:rPr>
                              <w:t>图   例</w:t>
                            </w:r>
                          </w:p>
                          <w:p w14:paraId="2339DCC5">
                            <w:pPr>
                              <w:pStyle w:val="7"/>
                              <w:ind w:firstLine="480"/>
                              <w:rPr>
                                <w:lang w:val="en-US"/>
                              </w:rPr>
                            </w:pPr>
                            <w:r>
                              <w:rPr>
                                <w:rFonts w:hint="eastAsia"/>
                                <w:lang w:val="en-US"/>
                              </w:rPr>
                              <w:t>本项目</w:t>
                            </w:r>
                          </w:p>
                          <w:p w14:paraId="7DD73DD7">
                            <w:pPr>
                              <w:pStyle w:val="7"/>
                              <w:ind w:firstLine="480"/>
                              <w:rPr>
                                <w:lang w:val="en-US"/>
                              </w:rPr>
                            </w:pPr>
                            <w:r>
                              <w:rPr>
                                <w:rFonts w:hint="eastAsia"/>
                                <w:lang w:val="en-US"/>
                              </w:rPr>
                              <w:t>评价范围</w:t>
                            </w:r>
                          </w:p>
                          <w:p w14:paraId="456C5DDC">
                            <w:pPr>
                              <w:pStyle w:val="7"/>
                              <w:ind w:firstLine="480"/>
                              <w:rPr>
                                <w:lang w:val="en-US"/>
                              </w:rPr>
                            </w:pPr>
                            <w:r>
                              <w:rPr>
                                <w:rFonts w:hint="eastAsia"/>
                                <w:lang w:val="en-US"/>
                              </w:rPr>
                              <w:t>保护目标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35pt;margin-top:263.8pt;height:100.6pt;width:103.35pt;z-index:251663360;mso-width-relative:page;mso-height-relative:page;" fillcolor="#FFFFFF [3201]" filled="t" stroked="t" coordsize="21600,21600" o:gfxdata="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KeoirZAAAADQEAAA8AAAAAAAAAAQAgAAAAIgAAAGRycy9kb3ducmV2LnhtbFBL&#10;AQIUABQAAAAIAIdO4kCeeKRbZwIAAMYEAAAOAAAAAAAAAAEAIAAAACgBAABkcnMvZTJvRG9jLnht&#10;bFBLBQYAAAAABgAGAFkBAAABBgAAAAA=&#10;">
                <v:fill on="t" focussize="0,0"/>
                <v:stroke weight="0.5pt" color="#000000 [3204]" joinstyle="round"/>
                <v:imagedata o:title=""/>
                <o:lock v:ext="edit" aspectratio="f"/>
                <v:textbox>
                  <w:txbxContent>
                    <w:p w14:paraId="07FD8091">
                      <w:pPr>
                        <w:ind w:firstLine="480"/>
                      </w:pPr>
                      <w:r>
                        <w:rPr>
                          <w:rFonts w:hint="eastAsia"/>
                        </w:rPr>
                        <w:t>图   例</w:t>
                      </w:r>
                    </w:p>
                    <w:p w14:paraId="2339DCC5">
                      <w:pPr>
                        <w:pStyle w:val="7"/>
                        <w:ind w:firstLine="480"/>
                        <w:rPr>
                          <w:lang w:val="en-US"/>
                        </w:rPr>
                      </w:pPr>
                      <w:r>
                        <w:rPr>
                          <w:rFonts w:hint="eastAsia"/>
                          <w:lang w:val="en-US"/>
                        </w:rPr>
                        <w:t>本项目</w:t>
                      </w:r>
                    </w:p>
                    <w:p w14:paraId="7DD73DD7">
                      <w:pPr>
                        <w:pStyle w:val="7"/>
                        <w:ind w:firstLine="480"/>
                        <w:rPr>
                          <w:lang w:val="en-US"/>
                        </w:rPr>
                      </w:pPr>
                      <w:r>
                        <w:rPr>
                          <w:rFonts w:hint="eastAsia"/>
                          <w:lang w:val="en-US"/>
                        </w:rPr>
                        <w:t>评价范围</w:t>
                      </w:r>
                    </w:p>
                    <w:p w14:paraId="456C5DDC">
                      <w:pPr>
                        <w:pStyle w:val="7"/>
                        <w:ind w:firstLine="480"/>
                        <w:rPr>
                          <w:lang w:val="en-US"/>
                        </w:rPr>
                      </w:pPr>
                      <w:r>
                        <w:rPr>
                          <w:rFonts w:hint="eastAsia"/>
                          <w:lang w:val="en-US"/>
                        </w:rPr>
                        <w:t>保护目标</w:t>
                      </w:r>
                    </w:p>
                  </w:txbxContent>
                </v:textbox>
              </v:shape>
            </w:pict>
          </mc:Fallback>
        </mc:AlternateContent>
      </w:r>
      <w:r>
        <w:rPr>
          <w:color w:val="auto"/>
        </w:rPr>
        <w:drawing>
          <wp:inline distT="0" distB="0" distL="114300" distR="114300">
            <wp:extent cx="8518525" cy="4691380"/>
            <wp:effectExtent l="0" t="0" r="15875" b="13970"/>
            <wp:docPr id="7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1"/>
                    <pic:cNvPicPr>
                      <a:picLocks noChangeAspect="1"/>
                    </pic:cNvPicPr>
                  </pic:nvPicPr>
                  <pic:blipFill>
                    <a:blip r:embed="rId31"/>
                    <a:stretch>
                      <a:fillRect/>
                    </a:stretch>
                  </pic:blipFill>
                  <pic:spPr>
                    <a:xfrm>
                      <a:off x="0" y="0"/>
                      <a:ext cx="8518525" cy="4691380"/>
                    </a:xfrm>
                    <a:prstGeom prst="rect">
                      <a:avLst/>
                    </a:prstGeom>
                    <a:noFill/>
                    <a:ln>
                      <a:noFill/>
                    </a:ln>
                  </pic:spPr>
                </pic:pic>
              </a:graphicData>
            </a:graphic>
          </wp:inline>
        </w:drawing>
      </w:r>
    </w:p>
    <w:p w14:paraId="7F19D033">
      <w:pPr>
        <w:pStyle w:val="2"/>
        <w:ind w:left="0"/>
        <w:rPr>
          <w:rFonts w:hint="eastAsia"/>
          <w:color w:val="auto"/>
        </w:rPr>
      </w:pPr>
      <w:bookmarkStart w:id="15" w:name="_Toc15434"/>
      <w:r>
        <w:rPr>
          <w:rFonts w:hint="eastAsia"/>
          <w:color w:val="auto"/>
        </w:rPr>
        <w:t>附图4 与柳州白莲机场净空保护区域关系图</w:t>
      </w:r>
      <w:bookmarkEnd w:id="15"/>
    </w:p>
    <w:p w14:paraId="5FBAACAB">
      <w:pPr>
        <w:rPr>
          <w:rFonts w:hint="default" w:eastAsia="宋体"/>
          <w:lang w:val="en-US" w:eastAsia="zh-CN"/>
        </w:rPr>
      </w:pPr>
      <w:r>
        <w:rPr>
          <w:rFonts w:hint="eastAsia"/>
          <w:color w:val="auto"/>
          <w:lang w:val="en-US" w:eastAsia="zh-CN"/>
        </w:rPr>
        <w:t>***</w:t>
      </w:r>
    </w:p>
    <w:p w14:paraId="1C552AC4">
      <w:pPr>
        <w:ind w:firstLine="0" w:firstLineChars="0"/>
        <w:jc w:val="center"/>
        <w:rPr>
          <w:color w:val="auto"/>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14:paraId="0A566CF6">
      <w:pPr>
        <w:pStyle w:val="2"/>
        <w:ind w:left="0"/>
        <w:rPr>
          <w:color w:val="auto"/>
        </w:rPr>
      </w:pPr>
      <w:bookmarkStart w:id="16" w:name="_Toc20703"/>
      <w:r>
        <w:rPr>
          <w:rFonts w:hint="eastAsia"/>
          <w:color w:val="auto"/>
        </w:rPr>
        <w:t>附图5 项目与新兴工业集中区土地利用规划位置关系图</w:t>
      </w:r>
      <w:bookmarkEnd w:id="16"/>
    </w:p>
    <w:p w14:paraId="309EBEFC">
      <w:pPr>
        <w:pStyle w:val="7"/>
        <w:ind w:firstLine="0" w:firstLineChars="0"/>
        <w:jc w:val="center"/>
        <w:rPr>
          <w:color w:val="auto"/>
          <w:lang w:val="en-US"/>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color w:val="auto"/>
        </w:rPr>
        <mc:AlternateContent>
          <mc:Choice Requires="wps">
            <w:drawing>
              <wp:anchor distT="0" distB="0" distL="114300" distR="114300" simplePos="0" relativeHeight="251675648" behindDoc="0" locked="0" layoutInCell="1" allowOverlap="1">
                <wp:simplePos x="0" y="0"/>
                <wp:positionH relativeFrom="column">
                  <wp:posOffset>728345</wp:posOffset>
                </wp:positionH>
                <wp:positionV relativeFrom="paragraph">
                  <wp:posOffset>2466975</wp:posOffset>
                </wp:positionV>
                <wp:extent cx="1332230" cy="332105"/>
                <wp:effectExtent l="5080" t="252730" r="300990" b="5715"/>
                <wp:wrapNone/>
                <wp:docPr id="117" name="圆角矩形标注 117"/>
                <wp:cNvGraphicFramePr/>
                <a:graphic xmlns:a="http://schemas.openxmlformats.org/drawingml/2006/main">
                  <a:graphicData uri="http://schemas.microsoft.com/office/word/2010/wordprocessingShape">
                    <wps:wsp>
                      <wps:cNvSpPr/>
                      <wps:spPr>
                        <a:xfrm>
                          <a:off x="0" y="0"/>
                          <a:ext cx="1332230" cy="332105"/>
                        </a:xfrm>
                        <a:prstGeom prst="wedgeRoundRectCallout">
                          <a:avLst>
                            <a:gd name="adj1" fmla="val 71006"/>
                            <a:gd name="adj2" fmla="val -124760"/>
                            <a:gd name="adj3" fmla="val 16667"/>
                          </a:avLst>
                        </a:prstGeom>
                        <a:solidFill>
                          <a:schemeClr val="bg1"/>
                        </a:solid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76D4B18">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项目区所在位置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57.35pt;margin-top:194.25pt;height:26.15pt;width:104.9pt;z-index:251675648;v-text-anchor:middle;mso-width-relative:page;mso-height-relative:page;" fillcolor="#FFFFFF [3212]" filled="t" stroked="t" coordsize="21600,21600" o:gfxdata="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F0z5pjbAAAACwEAAA8AAAAA&#10;AAAAAQAgAAAAIgAAAGRycy9kb3ducmV2LnhtbFBLAQIUABQAAAAIAIdO4kCtk4cJvAIAAH8FAAAO&#10;AAAAAAAAAAEAIAAAACoBAABkcnMvZTJvRG9jLnhtbFBLBQYAAAAABgAGAFkBAABYBgAAAAA=&#10;" adj="26137,-16148,14400">
                <v:fill on="t" focussize="0,0"/>
                <v:stroke weight="0.25pt" color="#000000 [3213]" joinstyle="round"/>
                <v:imagedata o:title=""/>
                <o:lock v:ext="edit" aspectratio="f"/>
                <v:textbox>
                  <w:txbxContent>
                    <w:p w14:paraId="476D4B18">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项目区所在位置</w:t>
                      </w:r>
                    </w:p>
                  </w:txbxContent>
                </v:textbox>
              </v:shape>
            </w:pict>
          </mc:Fallback>
        </mc:AlternateContent>
      </w:r>
      <w:r>
        <w:rPr>
          <w:color w:val="auto"/>
        </w:rPr>
        <mc:AlternateContent>
          <mc:Choice Requires="wps">
            <w:drawing>
              <wp:anchor distT="0" distB="0" distL="114300" distR="114300" simplePos="0" relativeHeight="251667456" behindDoc="0" locked="0" layoutInCell="1" allowOverlap="1">
                <wp:simplePos x="0" y="0"/>
                <wp:positionH relativeFrom="column">
                  <wp:posOffset>2380615</wp:posOffset>
                </wp:positionH>
                <wp:positionV relativeFrom="paragraph">
                  <wp:posOffset>2127250</wp:posOffset>
                </wp:positionV>
                <wp:extent cx="76200" cy="76200"/>
                <wp:effectExtent l="12700" t="12700" r="25400" b="25400"/>
                <wp:wrapNone/>
                <wp:docPr id="6" name="五角星 6"/>
                <wp:cNvGraphicFramePr/>
                <a:graphic xmlns:a="http://schemas.openxmlformats.org/drawingml/2006/main">
                  <a:graphicData uri="http://schemas.microsoft.com/office/word/2010/wordprocessingShape">
                    <wps:wsp>
                      <wps:cNvSpPr/>
                      <wps:spPr>
                        <a:xfrm>
                          <a:off x="3454400" y="3445510"/>
                          <a:ext cx="76200" cy="76200"/>
                        </a:xfrm>
                        <a:prstGeom prst="star5">
                          <a:avLst/>
                        </a:prstGeom>
                        <a:solidFill>
                          <a:srgbClr val="FF00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87.45pt;margin-top:167.5pt;height:6pt;width:6pt;z-index:251667456;v-text-anchor:middle;mso-width-relative:page;mso-height-relative:page;" fillcolor="#FF0000" filled="t" stroked="t" coordsize="76200,76200" o:gfxdata="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JccwKXZAAAACwEAAA8AAAAAAAAAAQAgAAAAIgAAAGRycy9kb3du&#10;cmV2LnhtbFBLAQIUABQAAAAIAIdO4kD9ffOucAIAAOoEAAAOAAAAAAAAAAEAIAAAACgBAABkcnMv&#10;ZTJvRG9jLnhtbFBLBQYAAAAABgAGAFkBAAAKBgAAAAA=&#10;" path="m0,29105l29105,29105,38100,0,47094,29105,76199,29105,52652,47093,61647,76199,38100,58211,14552,76199,23547,47093xe">
                <v:path o:connectlocs="38100,0;0,29105;14552,76199;61647,76199;76199,29105" o:connectangles="247,164,82,82,0"/>
                <v:fill on="t" focussize="0,0"/>
                <v:stroke weight="2pt" color="#FFFF00 [2404]" joinstyle="round"/>
                <v:imagedata o:title=""/>
                <o:lock v:ext="edit" aspectratio="f"/>
              </v:shape>
            </w:pict>
          </mc:Fallback>
        </mc:AlternateContent>
      </w:r>
      <w:r>
        <w:rPr>
          <w:color w:val="auto"/>
        </w:rPr>
        <w:drawing>
          <wp:inline distT="0" distB="0" distL="114300" distR="114300">
            <wp:extent cx="5615305" cy="7588250"/>
            <wp:effectExtent l="0" t="0" r="4445" b="12700"/>
            <wp:docPr id="11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35"/>
                    <pic:cNvPicPr>
                      <a:picLocks noChangeAspect="1"/>
                    </pic:cNvPicPr>
                  </pic:nvPicPr>
                  <pic:blipFill>
                    <a:blip r:embed="rId32"/>
                    <a:stretch>
                      <a:fillRect/>
                    </a:stretch>
                  </pic:blipFill>
                  <pic:spPr>
                    <a:xfrm>
                      <a:off x="0" y="0"/>
                      <a:ext cx="5615305" cy="7588250"/>
                    </a:xfrm>
                    <a:prstGeom prst="rect">
                      <a:avLst/>
                    </a:prstGeom>
                    <a:noFill/>
                    <a:ln>
                      <a:noFill/>
                    </a:ln>
                  </pic:spPr>
                </pic:pic>
              </a:graphicData>
            </a:graphic>
          </wp:inline>
        </w:drawing>
      </w:r>
    </w:p>
    <w:p w14:paraId="55118411">
      <w:pPr>
        <w:pStyle w:val="2"/>
        <w:ind w:left="0"/>
        <w:rPr>
          <w:color w:val="auto"/>
        </w:rPr>
      </w:pPr>
      <w:bookmarkStart w:id="17" w:name="_Toc16176"/>
      <w:r>
        <w:rPr>
          <w:rFonts w:hint="eastAsia"/>
          <w:color w:val="auto"/>
        </w:rPr>
        <w:t>附图6 声环境功能区划图</w:t>
      </w:r>
      <w:bookmarkEnd w:id="17"/>
    </w:p>
    <w:p w14:paraId="1C0454B3">
      <w:pPr>
        <w:ind w:firstLine="0" w:firstLineChars="0"/>
        <w:jc w:val="center"/>
        <w:rPr>
          <w:color w:val="auto"/>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color w:val="auto"/>
        </w:rPr>
        <mc:AlternateContent>
          <mc:Choice Requires="wps">
            <w:drawing>
              <wp:anchor distT="0" distB="0" distL="114300" distR="114300" simplePos="0" relativeHeight="251669504" behindDoc="0" locked="0" layoutInCell="1" allowOverlap="1">
                <wp:simplePos x="0" y="0"/>
                <wp:positionH relativeFrom="column">
                  <wp:posOffset>2747645</wp:posOffset>
                </wp:positionH>
                <wp:positionV relativeFrom="paragraph">
                  <wp:posOffset>2835910</wp:posOffset>
                </wp:positionV>
                <wp:extent cx="1332230" cy="332105"/>
                <wp:effectExtent l="5080" t="252730" r="300990" b="5715"/>
                <wp:wrapNone/>
                <wp:docPr id="21" name="圆角矩形标注 21"/>
                <wp:cNvGraphicFramePr/>
                <a:graphic xmlns:a="http://schemas.openxmlformats.org/drawingml/2006/main">
                  <a:graphicData uri="http://schemas.microsoft.com/office/word/2010/wordprocessingShape">
                    <wps:wsp>
                      <wps:cNvSpPr/>
                      <wps:spPr>
                        <a:xfrm>
                          <a:off x="4173220" y="4045585"/>
                          <a:ext cx="1332230" cy="332105"/>
                        </a:xfrm>
                        <a:prstGeom prst="wedgeRoundRectCallout">
                          <a:avLst>
                            <a:gd name="adj1" fmla="val 71006"/>
                            <a:gd name="adj2" fmla="val -124760"/>
                            <a:gd name="adj3" fmla="val 16667"/>
                          </a:avLst>
                        </a:prstGeom>
                        <a:solidFill>
                          <a:schemeClr val="bg1"/>
                        </a:solid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8EC2702">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项目区所在位置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16.35pt;margin-top:223.3pt;height:26.15pt;width:104.9pt;z-index:251669504;v-text-anchor:middle;mso-width-relative:page;mso-height-relative:page;" fillcolor="#FFFFFF [3212]" filled="t" stroked="t" coordsize="21600,21600" o:gfxdata="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4g6ZK9oAAAAL&#10;AQAADwAAAAAAAAABACAAAAAiAAAAZHJzL2Rvd25yZXYueG1sUEsBAhQAFAAAAAgAh07iQOEhRw7F&#10;AgAAiQUAAA4AAAAAAAAAAQAgAAAAKQEAAGRycy9lMm9Eb2MueG1sUEsFBgAAAAAGAAYAWQEAAGAG&#10;AAAAAA==&#10;" adj="26137,-16148,14400">
                <v:fill on="t" focussize="0,0"/>
                <v:stroke weight="0.25pt" color="#000000 [3213]" joinstyle="round"/>
                <v:imagedata o:title=""/>
                <o:lock v:ext="edit" aspectratio="f"/>
                <v:textbox>
                  <w:txbxContent>
                    <w:p w14:paraId="18EC2702">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项目区所在位置</w:t>
                      </w:r>
                    </w:p>
                  </w:txbxContent>
                </v:textbox>
              </v:shape>
            </w:pict>
          </mc:Fallback>
        </mc:AlternateContent>
      </w:r>
      <w:r>
        <w:rPr>
          <w:color w:val="auto"/>
        </w:rPr>
        <mc:AlternateContent>
          <mc:Choice Requires="wps">
            <w:drawing>
              <wp:anchor distT="0" distB="0" distL="114300" distR="114300" simplePos="0" relativeHeight="251668480" behindDoc="0" locked="0" layoutInCell="1" allowOverlap="1">
                <wp:simplePos x="0" y="0"/>
                <wp:positionH relativeFrom="column">
                  <wp:posOffset>4393565</wp:posOffset>
                </wp:positionH>
                <wp:positionV relativeFrom="paragraph">
                  <wp:posOffset>2517140</wp:posOffset>
                </wp:positionV>
                <wp:extent cx="75565" cy="75565"/>
                <wp:effectExtent l="12700" t="12700" r="26035" b="26035"/>
                <wp:wrapNone/>
                <wp:docPr id="14" name="五角星 14"/>
                <wp:cNvGraphicFramePr/>
                <a:graphic xmlns:a="http://schemas.openxmlformats.org/drawingml/2006/main">
                  <a:graphicData uri="http://schemas.microsoft.com/office/word/2010/wordprocessingShape">
                    <wps:wsp>
                      <wps:cNvSpPr/>
                      <wps:spPr>
                        <a:xfrm>
                          <a:off x="5327015" y="3806825"/>
                          <a:ext cx="75565" cy="75565"/>
                        </a:xfrm>
                        <a:prstGeom prst="star5">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45.95pt;margin-top:198.2pt;height:5.95pt;width:5.95pt;z-index:251668480;v-text-anchor:middle;mso-width-relative:page;mso-height-relative:page;" fillcolor="#FFFF00" filled="t" stroked="t" coordsize="75565,75565" o:gfxdata="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CyY1A7aAAAACwEAAA8AAAAAAAAAAQAgAAAAIgAAAGRycy9k&#10;b3ducmV2LnhtbFBLAQIUABQAAAAIAIdO4kCT5iWncgIAAOwEAAAOAAAAAAAAAAEAIAAAACkBAABk&#10;cnMvZTJvRG9jLnhtbFBLBQYAAAAABgAGAFkBAAANBgAAAAA=&#10;" path="m0,28863l28863,28863,37782,0,46701,28863,75564,28863,52213,46701,61133,75564,37782,57726,14431,75564,23351,46701xe">
                <v:path o:connectlocs="37782,0;0,28863;14431,75564;61133,75564;75564,28863" o:connectangles="247,164,82,82,0"/>
                <v:fill on="t" focussize="0,0"/>
                <v:stroke weight="2pt" color="#FFFF00 [2404]" joinstyle="round"/>
                <v:imagedata o:title=""/>
                <o:lock v:ext="edit" aspectratio="f"/>
              </v:shape>
            </w:pict>
          </mc:Fallback>
        </mc:AlternateContent>
      </w:r>
      <w:r>
        <w:rPr>
          <w:rFonts w:hint="eastAsia" w:eastAsia="仿宋_GB2312"/>
          <w:color w:val="auto"/>
          <w:sz w:val="32"/>
          <w:szCs w:val="32"/>
        </w:rPr>
        <w:drawing>
          <wp:inline distT="0" distB="0" distL="114300" distR="114300">
            <wp:extent cx="6931025" cy="4898390"/>
            <wp:effectExtent l="0" t="0" r="3175" b="16510"/>
            <wp:docPr id="15" name="图片 1"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图片8"/>
                    <pic:cNvPicPr>
                      <a:picLocks noChangeAspect="1"/>
                    </pic:cNvPicPr>
                  </pic:nvPicPr>
                  <pic:blipFill>
                    <a:blip r:embed="rId33"/>
                    <a:stretch>
                      <a:fillRect/>
                    </a:stretch>
                  </pic:blipFill>
                  <pic:spPr>
                    <a:xfrm>
                      <a:off x="0" y="0"/>
                      <a:ext cx="6931025" cy="4898390"/>
                    </a:xfrm>
                    <a:prstGeom prst="rect">
                      <a:avLst/>
                    </a:prstGeom>
                    <a:noFill/>
                    <a:ln>
                      <a:noFill/>
                    </a:ln>
                  </pic:spPr>
                </pic:pic>
              </a:graphicData>
            </a:graphic>
          </wp:inline>
        </w:drawing>
      </w:r>
    </w:p>
    <w:p w14:paraId="6D32064E">
      <w:pPr>
        <w:pStyle w:val="2"/>
        <w:ind w:left="0"/>
        <w:rPr>
          <w:color w:val="auto"/>
        </w:rPr>
      </w:pPr>
      <w:bookmarkStart w:id="18" w:name="_Toc19003"/>
      <w:r>
        <w:rPr>
          <w:rFonts w:hint="eastAsia"/>
          <w:color w:val="auto"/>
        </w:rPr>
        <w:t>附图7 空气功能区划分示意图</w:t>
      </w:r>
      <w:bookmarkEnd w:id="18"/>
    </w:p>
    <w:p w14:paraId="3328CFC7">
      <w:pPr>
        <w:ind w:firstLine="0" w:firstLineChars="0"/>
        <w:jc w:val="center"/>
        <w:rPr>
          <w:color w:val="auto"/>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color w:val="auto"/>
          <w:sz w:val="32"/>
        </w:rPr>
        <mc:AlternateContent>
          <mc:Choice Requires="wps">
            <w:drawing>
              <wp:anchor distT="0" distB="0" distL="114300" distR="114300" simplePos="0" relativeHeight="251670528" behindDoc="0" locked="0" layoutInCell="1" allowOverlap="1">
                <wp:simplePos x="0" y="0"/>
                <wp:positionH relativeFrom="column">
                  <wp:posOffset>3928110</wp:posOffset>
                </wp:positionH>
                <wp:positionV relativeFrom="paragraph">
                  <wp:posOffset>3397885</wp:posOffset>
                </wp:positionV>
                <wp:extent cx="76200" cy="76200"/>
                <wp:effectExtent l="12700" t="12700" r="25400" b="25400"/>
                <wp:wrapNone/>
                <wp:docPr id="24" name="五角星 24"/>
                <wp:cNvGraphicFramePr/>
                <a:graphic xmlns:a="http://schemas.openxmlformats.org/drawingml/2006/main">
                  <a:graphicData uri="http://schemas.microsoft.com/office/word/2010/wordprocessingShape">
                    <wps:wsp>
                      <wps:cNvSpPr/>
                      <wps:spPr>
                        <a:xfrm>
                          <a:off x="4907280" y="4773930"/>
                          <a:ext cx="76200" cy="76200"/>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09.3pt;margin-top:267.55pt;height:6pt;width:6pt;z-index:251670528;v-text-anchor:middle;mso-width-relative:page;mso-height-relative:page;" fillcolor="#FF0000" filled="t" stroked="t" coordsize="76200,76200" o:gfxdata="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eUicFtcAAAALAQAADwAAAAAAAAABACAAAAAiAAAAZHJzL2Rvd25yZXYu&#10;eG1sUEsBAhQAFAAAAAgAh07iQEhOB6FuAgAA7AQAAA4AAAAAAAAAAQAgAAAAJgEAAGRycy9lMm9E&#10;b2MueG1sUEsFBgAAAAAGAAYAWQEAAAYGAAAAAA==&#10;" path="m0,29105l29105,29105,38100,0,47094,29105,76199,29105,52652,47093,61647,76199,38100,58211,14552,76199,23547,47093xe">
                <v:path o:connectlocs="38100,0;0,29105;14552,76199;61647,76199;76199,29105" o:connectangles="247,164,82,82,0"/>
                <v:fill on="t" focussize="0,0"/>
                <v:stroke weight="2pt" color="#FF0000 [2404]" joinstyle="round"/>
                <v:imagedata o:title=""/>
                <o:lock v:ext="edit" aspectratio="f"/>
              </v:shape>
            </w:pict>
          </mc:Fallback>
        </mc:AlternateContent>
      </w:r>
      <w:r>
        <w:rPr>
          <w:color w:val="auto"/>
          <w:sz w:val="32"/>
        </w:rPr>
        <mc:AlternateContent>
          <mc:Choice Requires="wps">
            <w:drawing>
              <wp:anchor distT="0" distB="0" distL="114300" distR="114300" simplePos="0" relativeHeight="251671552" behindDoc="0" locked="0" layoutInCell="1" allowOverlap="1">
                <wp:simplePos x="0" y="0"/>
                <wp:positionH relativeFrom="column">
                  <wp:posOffset>4319905</wp:posOffset>
                </wp:positionH>
                <wp:positionV relativeFrom="paragraph">
                  <wp:posOffset>3171825</wp:posOffset>
                </wp:positionV>
                <wp:extent cx="1176020" cy="337820"/>
                <wp:effectExtent l="337185" t="4445" r="10795" b="19685"/>
                <wp:wrapNone/>
                <wp:docPr id="25" name="圆角矩形标注 25"/>
                <wp:cNvGraphicFramePr/>
                <a:graphic xmlns:a="http://schemas.openxmlformats.org/drawingml/2006/main">
                  <a:graphicData uri="http://schemas.microsoft.com/office/word/2010/wordprocessingShape">
                    <wps:wsp>
                      <wps:cNvSpPr/>
                      <wps:spPr>
                        <a:xfrm>
                          <a:off x="4559935" y="4885690"/>
                          <a:ext cx="1176020" cy="337820"/>
                        </a:xfrm>
                        <a:prstGeom prst="wedgeRoundRectCallout">
                          <a:avLst>
                            <a:gd name="adj1" fmla="val -78271"/>
                            <a:gd name="adj2" fmla="val 25230"/>
                            <a:gd name="adj3" fmla="val 16667"/>
                          </a:avLst>
                        </a:prstGeom>
                        <a:solidFill>
                          <a:schemeClr val="bg1"/>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F738207">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340.15pt;margin-top:249.75pt;height:26.6pt;width:92.6pt;z-index:251671552;v-text-anchor:middle;mso-width-relative:page;mso-height-relative:page;" fillcolor="#FFFFFF [3212]" filled="t" stroked="t" coordsize="21600,21600" o:gfxdata="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PFI6zbd&#10;AAAACwEAAA8AAAAAAAAAAQAgAAAAIgAAAGRycy9kb3ducmV2LnhtbFBLAQIUABQAAAAIAIdO4kDS&#10;L0TzxgIAAIgFAAAOAAAAAAAAAAEAIAAAACwBAABkcnMvZTJvRG9jLnhtbFBLBQYAAAAABgAGAFkB&#10;AABkBgAAAAA=&#10;" adj="-6107,16250,14400">
                <v:fill on="t" focussize="0,0"/>
                <v:stroke weight="0.5pt" color="#000000 [3213]" joinstyle="round"/>
                <v:imagedata o:title=""/>
                <o:lock v:ext="edit" aspectratio="f"/>
                <v:textbox>
                  <w:txbxContent>
                    <w:p w14:paraId="5F738207">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本项目所在地</w:t>
                      </w:r>
                    </w:p>
                  </w:txbxContent>
                </v:textbox>
              </v:shape>
            </w:pict>
          </mc:Fallback>
        </mc:AlternateContent>
      </w:r>
      <w:r>
        <w:rPr>
          <w:rFonts w:hint="eastAsia" w:eastAsia="仿宋_GB2312"/>
          <w:color w:val="auto"/>
          <w:sz w:val="32"/>
          <w:szCs w:val="32"/>
        </w:rPr>
        <w:drawing>
          <wp:inline distT="0" distB="0" distL="114300" distR="114300">
            <wp:extent cx="6709410" cy="4547235"/>
            <wp:effectExtent l="0" t="0" r="15240" b="5715"/>
            <wp:docPr id="22" name="图片 2" descr="微信图片_202007080919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descr="微信图片_202007080919151"/>
                    <pic:cNvPicPr>
                      <a:picLocks noChangeAspect="1"/>
                    </pic:cNvPicPr>
                  </pic:nvPicPr>
                  <pic:blipFill>
                    <a:blip r:embed="rId34"/>
                    <a:stretch>
                      <a:fillRect/>
                    </a:stretch>
                  </pic:blipFill>
                  <pic:spPr>
                    <a:xfrm>
                      <a:off x="0" y="0"/>
                      <a:ext cx="6709410" cy="4547235"/>
                    </a:xfrm>
                    <a:prstGeom prst="rect">
                      <a:avLst/>
                    </a:prstGeom>
                    <a:noFill/>
                    <a:ln>
                      <a:noFill/>
                    </a:ln>
                  </pic:spPr>
                </pic:pic>
              </a:graphicData>
            </a:graphic>
          </wp:inline>
        </w:drawing>
      </w:r>
    </w:p>
    <w:p w14:paraId="3FB7DF6F">
      <w:pPr>
        <w:pStyle w:val="2"/>
        <w:ind w:left="0"/>
        <w:rPr>
          <w:color w:val="auto"/>
        </w:rPr>
      </w:pPr>
      <w:bookmarkStart w:id="19" w:name="_Toc22673"/>
      <w:r>
        <w:rPr>
          <w:rFonts w:hint="eastAsia"/>
          <w:color w:val="auto"/>
        </w:rPr>
        <w:t>附图8 项目所在柳州市环境管控单元分类图</w:t>
      </w:r>
      <w:bookmarkEnd w:id="19"/>
    </w:p>
    <w:p w14:paraId="0C036C82">
      <w:pPr>
        <w:ind w:firstLine="480"/>
        <w:jc w:val="center"/>
        <w:rPr>
          <w:color w:val="auto"/>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color w:val="auto"/>
        </w:rPr>
        <w:drawing>
          <wp:inline distT="0" distB="0" distL="114300" distR="114300">
            <wp:extent cx="7200265" cy="4598035"/>
            <wp:effectExtent l="0" t="0" r="635" b="12065"/>
            <wp:docPr id="26" name="图片 26" descr="WPS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WPS图片(3)"/>
                    <pic:cNvPicPr>
                      <a:picLocks noChangeAspect="1"/>
                    </pic:cNvPicPr>
                  </pic:nvPicPr>
                  <pic:blipFill>
                    <a:blip r:embed="rId35"/>
                    <a:stretch>
                      <a:fillRect/>
                    </a:stretch>
                  </pic:blipFill>
                  <pic:spPr>
                    <a:xfrm>
                      <a:off x="0" y="0"/>
                      <a:ext cx="7200265" cy="4598035"/>
                    </a:xfrm>
                    <a:prstGeom prst="rect">
                      <a:avLst/>
                    </a:prstGeom>
                  </pic:spPr>
                </pic:pic>
              </a:graphicData>
            </a:graphic>
          </wp:inline>
        </w:drawing>
      </w:r>
    </w:p>
    <w:p w14:paraId="7A668021">
      <w:pPr>
        <w:pStyle w:val="2"/>
        <w:ind w:left="0"/>
        <w:rPr>
          <w:color w:val="auto"/>
        </w:rPr>
      </w:pPr>
      <w:bookmarkStart w:id="20" w:name="_Toc19163"/>
      <w:r>
        <w:rPr>
          <w:rFonts w:hint="eastAsia"/>
          <w:color w:val="auto"/>
        </w:rPr>
        <w:t>附图9 厂区现状图</w:t>
      </w:r>
      <w:bookmarkEnd w:id="20"/>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15"/>
        <w:gridCol w:w="4545"/>
      </w:tblGrid>
      <w:tr w14:paraId="4F278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515" w:type="dxa"/>
          </w:tcPr>
          <w:p w14:paraId="494E6813">
            <w:pPr>
              <w:spacing w:line="240" w:lineRule="auto"/>
              <w:ind w:firstLine="0" w:firstLineChars="0"/>
              <w:rPr>
                <w:color w:val="auto"/>
              </w:rPr>
            </w:pPr>
            <w:r>
              <w:rPr>
                <w:color w:val="auto"/>
              </w:rPr>
              <w:drawing>
                <wp:inline distT="0" distB="0" distL="114300" distR="114300">
                  <wp:extent cx="2788285" cy="2091055"/>
                  <wp:effectExtent l="0" t="0" r="12065" b="4445"/>
                  <wp:docPr id="75" name="图片 75" descr="拌料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拌料间"/>
                          <pic:cNvPicPr>
                            <a:picLocks noChangeAspect="1"/>
                          </pic:cNvPicPr>
                        </pic:nvPicPr>
                        <pic:blipFill>
                          <a:blip r:embed="rId36"/>
                          <a:stretch>
                            <a:fillRect/>
                          </a:stretch>
                        </pic:blipFill>
                        <pic:spPr>
                          <a:xfrm>
                            <a:off x="0" y="0"/>
                            <a:ext cx="2788285" cy="2091055"/>
                          </a:xfrm>
                          <a:prstGeom prst="rect">
                            <a:avLst/>
                          </a:prstGeom>
                        </pic:spPr>
                      </pic:pic>
                    </a:graphicData>
                  </a:graphic>
                </wp:inline>
              </w:drawing>
            </w:r>
          </w:p>
        </w:tc>
        <w:tc>
          <w:tcPr>
            <w:tcW w:w="4545" w:type="dxa"/>
          </w:tcPr>
          <w:p w14:paraId="5FFB84EE">
            <w:pPr>
              <w:spacing w:line="240" w:lineRule="auto"/>
              <w:ind w:firstLine="0" w:firstLineChars="0"/>
              <w:rPr>
                <w:color w:val="auto"/>
              </w:rPr>
            </w:pPr>
            <w:r>
              <w:rPr>
                <w:color w:val="auto"/>
              </w:rPr>
              <w:drawing>
                <wp:inline distT="0" distB="0" distL="114300" distR="114300">
                  <wp:extent cx="2816860" cy="2112645"/>
                  <wp:effectExtent l="0" t="0" r="2540" b="1905"/>
                  <wp:docPr id="76" name="图片 76" descr="拌料间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拌料间2"/>
                          <pic:cNvPicPr>
                            <a:picLocks noChangeAspect="1"/>
                          </pic:cNvPicPr>
                        </pic:nvPicPr>
                        <pic:blipFill>
                          <a:blip r:embed="rId37"/>
                          <a:stretch>
                            <a:fillRect/>
                          </a:stretch>
                        </pic:blipFill>
                        <pic:spPr>
                          <a:xfrm>
                            <a:off x="0" y="0"/>
                            <a:ext cx="2816860" cy="2112645"/>
                          </a:xfrm>
                          <a:prstGeom prst="rect">
                            <a:avLst/>
                          </a:prstGeom>
                        </pic:spPr>
                      </pic:pic>
                    </a:graphicData>
                  </a:graphic>
                </wp:inline>
              </w:drawing>
            </w:r>
          </w:p>
        </w:tc>
      </w:tr>
      <w:tr w14:paraId="011F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0" w:type="dxa"/>
            <w:gridSpan w:val="2"/>
          </w:tcPr>
          <w:p w14:paraId="3B10732F">
            <w:pPr>
              <w:spacing w:line="240" w:lineRule="auto"/>
              <w:ind w:firstLine="0" w:firstLineChars="0"/>
              <w:jc w:val="center"/>
              <w:rPr>
                <w:color w:val="auto"/>
              </w:rPr>
            </w:pPr>
            <w:r>
              <w:rPr>
                <w:rFonts w:hint="eastAsia"/>
                <w:color w:val="auto"/>
              </w:rPr>
              <w:t>拌料间</w:t>
            </w:r>
          </w:p>
        </w:tc>
      </w:tr>
      <w:tr w14:paraId="6ED8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5" w:type="dxa"/>
          </w:tcPr>
          <w:p w14:paraId="37386000">
            <w:pPr>
              <w:spacing w:line="240" w:lineRule="auto"/>
              <w:ind w:firstLine="0" w:firstLineChars="0"/>
              <w:jc w:val="center"/>
              <w:rPr>
                <w:color w:val="auto"/>
              </w:rPr>
            </w:pPr>
            <w:r>
              <w:rPr>
                <w:color w:val="auto"/>
              </w:rPr>
              <w:drawing>
                <wp:inline distT="0" distB="0" distL="114300" distR="114300">
                  <wp:extent cx="2746375" cy="2058670"/>
                  <wp:effectExtent l="0" t="0" r="15875" b="17780"/>
                  <wp:docPr id="77" name="图片 77" descr="包装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包装间"/>
                          <pic:cNvPicPr>
                            <a:picLocks noChangeAspect="1"/>
                          </pic:cNvPicPr>
                        </pic:nvPicPr>
                        <pic:blipFill>
                          <a:blip r:embed="rId38"/>
                          <a:stretch>
                            <a:fillRect/>
                          </a:stretch>
                        </pic:blipFill>
                        <pic:spPr>
                          <a:xfrm>
                            <a:off x="0" y="0"/>
                            <a:ext cx="2746375" cy="2058670"/>
                          </a:xfrm>
                          <a:prstGeom prst="rect">
                            <a:avLst/>
                          </a:prstGeom>
                        </pic:spPr>
                      </pic:pic>
                    </a:graphicData>
                  </a:graphic>
                </wp:inline>
              </w:drawing>
            </w:r>
          </w:p>
        </w:tc>
        <w:tc>
          <w:tcPr>
            <w:tcW w:w="4545" w:type="dxa"/>
          </w:tcPr>
          <w:p w14:paraId="08C7AA2F">
            <w:pPr>
              <w:spacing w:line="240" w:lineRule="auto"/>
              <w:ind w:firstLine="0" w:firstLineChars="0"/>
              <w:jc w:val="center"/>
              <w:rPr>
                <w:color w:val="auto"/>
              </w:rPr>
            </w:pPr>
            <w:r>
              <w:rPr>
                <w:color w:val="auto"/>
              </w:rPr>
              <w:drawing>
                <wp:inline distT="0" distB="0" distL="114300" distR="114300">
                  <wp:extent cx="2713990" cy="2034540"/>
                  <wp:effectExtent l="0" t="0" r="10160" b="3810"/>
                  <wp:docPr id="78" name="图片 78" descr="包装间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包装间2"/>
                          <pic:cNvPicPr>
                            <a:picLocks noChangeAspect="1"/>
                          </pic:cNvPicPr>
                        </pic:nvPicPr>
                        <pic:blipFill>
                          <a:blip r:embed="rId39"/>
                          <a:stretch>
                            <a:fillRect/>
                          </a:stretch>
                        </pic:blipFill>
                        <pic:spPr>
                          <a:xfrm>
                            <a:off x="0" y="0"/>
                            <a:ext cx="2713990" cy="2034540"/>
                          </a:xfrm>
                          <a:prstGeom prst="rect">
                            <a:avLst/>
                          </a:prstGeom>
                        </pic:spPr>
                      </pic:pic>
                    </a:graphicData>
                  </a:graphic>
                </wp:inline>
              </w:drawing>
            </w:r>
          </w:p>
        </w:tc>
      </w:tr>
      <w:tr w14:paraId="0240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0" w:type="dxa"/>
            <w:gridSpan w:val="2"/>
          </w:tcPr>
          <w:p w14:paraId="037D8AC0">
            <w:pPr>
              <w:spacing w:line="240" w:lineRule="auto"/>
              <w:ind w:firstLine="0" w:firstLineChars="0"/>
              <w:jc w:val="center"/>
              <w:rPr>
                <w:color w:val="auto"/>
              </w:rPr>
            </w:pPr>
            <w:r>
              <w:rPr>
                <w:rFonts w:hint="eastAsia"/>
                <w:color w:val="auto"/>
              </w:rPr>
              <w:t>包装间</w:t>
            </w:r>
          </w:p>
        </w:tc>
      </w:tr>
      <w:tr w14:paraId="7B7F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5" w:type="dxa"/>
          </w:tcPr>
          <w:p w14:paraId="04D78301">
            <w:pPr>
              <w:spacing w:line="240" w:lineRule="auto"/>
              <w:ind w:firstLine="0" w:firstLineChars="0"/>
              <w:jc w:val="center"/>
              <w:rPr>
                <w:color w:val="auto"/>
              </w:rPr>
            </w:pPr>
            <w:r>
              <w:rPr>
                <w:color w:val="auto"/>
              </w:rPr>
              <w:drawing>
                <wp:inline distT="0" distB="0" distL="114300" distR="114300">
                  <wp:extent cx="2713990" cy="2034540"/>
                  <wp:effectExtent l="0" t="0" r="10160" b="3810"/>
                  <wp:docPr id="79" name="图片 79" descr="北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北面"/>
                          <pic:cNvPicPr>
                            <a:picLocks noChangeAspect="1"/>
                          </pic:cNvPicPr>
                        </pic:nvPicPr>
                        <pic:blipFill>
                          <a:blip r:embed="rId40"/>
                          <a:stretch>
                            <a:fillRect/>
                          </a:stretch>
                        </pic:blipFill>
                        <pic:spPr>
                          <a:xfrm>
                            <a:off x="0" y="0"/>
                            <a:ext cx="2713990" cy="2034540"/>
                          </a:xfrm>
                          <a:prstGeom prst="rect">
                            <a:avLst/>
                          </a:prstGeom>
                        </pic:spPr>
                      </pic:pic>
                    </a:graphicData>
                  </a:graphic>
                </wp:inline>
              </w:drawing>
            </w:r>
          </w:p>
        </w:tc>
        <w:tc>
          <w:tcPr>
            <w:tcW w:w="4545" w:type="dxa"/>
          </w:tcPr>
          <w:p w14:paraId="5AC966F3">
            <w:pPr>
              <w:spacing w:line="240" w:lineRule="auto"/>
              <w:ind w:firstLine="0" w:firstLineChars="0"/>
              <w:jc w:val="center"/>
              <w:rPr>
                <w:color w:val="auto"/>
              </w:rPr>
            </w:pPr>
            <w:r>
              <w:rPr>
                <w:color w:val="auto"/>
              </w:rPr>
              <w:drawing>
                <wp:inline distT="0" distB="0" distL="114300" distR="114300">
                  <wp:extent cx="2713990" cy="2034540"/>
                  <wp:effectExtent l="0" t="0" r="10160" b="3810"/>
                  <wp:docPr id="80" name="图片 80" descr="仓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仓库"/>
                          <pic:cNvPicPr>
                            <a:picLocks noChangeAspect="1"/>
                          </pic:cNvPicPr>
                        </pic:nvPicPr>
                        <pic:blipFill>
                          <a:blip r:embed="rId41"/>
                          <a:stretch>
                            <a:fillRect/>
                          </a:stretch>
                        </pic:blipFill>
                        <pic:spPr>
                          <a:xfrm>
                            <a:off x="0" y="0"/>
                            <a:ext cx="2713990" cy="2034540"/>
                          </a:xfrm>
                          <a:prstGeom prst="rect">
                            <a:avLst/>
                          </a:prstGeom>
                        </pic:spPr>
                      </pic:pic>
                    </a:graphicData>
                  </a:graphic>
                </wp:inline>
              </w:drawing>
            </w:r>
          </w:p>
        </w:tc>
      </w:tr>
      <w:tr w14:paraId="0961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5" w:type="dxa"/>
          </w:tcPr>
          <w:p w14:paraId="60D96366">
            <w:pPr>
              <w:spacing w:line="240" w:lineRule="auto"/>
              <w:ind w:firstLine="0" w:firstLineChars="0"/>
              <w:jc w:val="center"/>
              <w:rPr>
                <w:color w:val="auto"/>
              </w:rPr>
            </w:pPr>
            <w:r>
              <w:rPr>
                <w:rFonts w:hint="eastAsia"/>
                <w:color w:val="auto"/>
              </w:rPr>
              <w:t>北侧</w:t>
            </w:r>
          </w:p>
        </w:tc>
        <w:tc>
          <w:tcPr>
            <w:tcW w:w="4545" w:type="dxa"/>
          </w:tcPr>
          <w:p w14:paraId="0EC72849">
            <w:pPr>
              <w:spacing w:line="240" w:lineRule="auto"/>
              <w:ind w:firstLine="0" w:firstLineChars="0"/>
              <w:jc w:val="center"/>
              <w:rPr>
                <w:color w:val="auto"/>
              </w:rPr>
            </w:pPr>
            <w:r>
              <w:rPr>
                <w:rFonts w:hint="eastAsia"/>
                <w:color w:val="auto"/>
              </w:rPr>
              <w:t>仓库</w:t>
            </w:r>
          </w:p>
        </w:tc>
      </w:tr>
      <w:tr w14:paraId="6C0D1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5" w:type="dxa"/>
          </w:tcPr>
          <w:p w14:paraId="6DF05DAE">
            <w:pPr>
              <w:spacing w:line="240" w:lineRule="auto"/>
              <w:ind w:firstLine="0" w:firstLineChars="0"/>
              <w:jc w:val="center"/>
              <w:rPr>
                <w:color w:val="auto"/>
              </w:rPr>
            </w:pPr>
            <w:r>
              <w:rPr>
                <w:color w:val="auto"/>
              </w:rPr>
              <w:drawing>
                <wp:inline distT="0" distB="0" distL="114300" distR="114300">
                  <wp:extent cx="2746375" cy="2058670"/>
                  <wp:effectExtent l="0" t="0" r="15875" b="17780"/>
                  <wp:docPr id="81" name="图片 81" descr="炒料车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炒料车间"/>
                          <pic:cNvPicPr>
                            <a:picLocks noChangeAspect="1"/>
                          </pic:cNvPicPr>
                        </pic:nvPicPr>
                        <pic:blipFill>
                          <a:blip r:embed="rId42"/>
                          <a:stretch>
                            <a:fillRect/>
                          </a:stretch>
                        </pic:blipFill>
                        <pic:spPr>
                          <a:xfrm>
                            <a:off x="0" y="0"/>
                            <a:ext cx="2746375" cy="2058670"/>
                          </a:xfrm>
                          <a:prstGeom prst="rect">
                            <a:avLst/>
                          </a:prstGeom>
                        </pic:spPr>
                      </pic:pic>
                    </a:graphicData>
                  </a:graphic>
                </wp:inline>
              </w:drawing>
            </w:r>
          </w:p>
        </w:tc>
        <w:tc>
          <w:tcPr>
            <w:tcW w:w="4545" w:type="dxa"/>
          </w:tcPr>
          <w:p w14:paraId="3946CC01">
            <w:pPr>
              <w:spacing w:line="240" w:lineRule="auto"/>
              <w:ind w:firstLine="0" w:firstLineChars="0"/>
              <w:jc w:val="center"/>
              <w:rPr>
                <w:color w:val="auto"/>
              </w:rPr>
            </w:pPr>
            <w:r>
              <w:rPr>
                <w:color w:val="auto"/>
              </w:rPr>
              <w:drawing>
                <wp:inline distT="0" distB="0" distL="114300" distR="114300">
                  <wp:extent cx="2713990" cy="2034540"/>
                  <wp:effectExtent l="0" t="0" r="10160" b="3810"/>
                  <wp:docPr id="82" name="图片 82" descr="炒料间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炒料间2"/>
                          <pic:cNvPicPr>
                            <a:picLocks noChangeAspect="1"/>
                          </pic:cNvPicPr>
                        </pic:nvPicPr>
                        <pic:blipFill>
                          <a:blip r:embed="rId43"/>
                          <a:stretch>
                            <a:fillRect/>
                          </a:stretch>
                        </pic:blipFill>
                        <pic:spPr>
                          <a:xfrm>
                            <a:off x="0" y="0"/>
                            <a:ext cx="2713990" cy="2034540"/>
                          </a:xfrm>
                          <a:prstGeom prst="rect">
                            <a:avLst/>
                          </a:prstGeom>
                        </pic:spPr>
                      </pic:pic>
                    </a:graphicData>
                  </a:graphic>
                </wp:inline>
              </w:drawing>
            </w:r>
          </w:p>
        </w:tc>
      </w:tr>
      <w:tr w14:paraId="21D7B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0" w:type="dxa"/>
            <w:gridSpan w:val="2"/>
          </w:tcPr>
          <w:p w14:paraId="4E0B480B">
            <w:pPr>
              <w:spacing w:line="240" w:lineRule="auto"/>
              <w:ind w:firstLine="0" w:firstLineChars="0"/>
              <w:jc w:val="center"/>
              <w:rPr>
                <w:color w:val="auto"/>
              </w:rPr>
            </w:pPr>
            <w:r>
              <w:rPr>
                <w:rFonts w:hint="eastAsia"/>
                <w:color w:val="auto"/>
              </w:rPr>
              <w:t>炒料间</w:t>
            </w:r>
          </w:p>
        </w:tc>
      </w:tr>
      <w:tr w14:paraId="0DBEE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9" w:type="dxa"/>
          </w:tcPr>
          <w:p w14:paraId="6C8A692A">
            <w:pPr>
              <w:spacing w:line="240" w:lineRule="auto"/>
              <w:ind w:firstLine="0" w:firstLineChars="0"/>
              <w:jc w:val="center"/>
              <w:rPr>
                <w:color w:val="auto"/>
              </w:rPr>
            </w:pPr>
            <w:r>
              <w:rPr>
                <w:rFonts w:hint="eastAsia"/>
                <w:color w:val="auto"/>
              </w:rPr>
              <w:drawing>
                <wp:inline distT="0" distB="0" distL="114300" distR="114300">
                  <wp:extent cx="2729865" cy="2046605"/>
                  <wp:effectExtent l="0" t="0" r="13335" b="10795"/>
                  <wp:docPr id="83" name="图片 83" descr="成品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成品间"/>
                          <pic:cNvPicPr>
                            <a:picLocks noChangeAspect="1"/>
                          </pic:cNvPicPr>
                        </pic:nvPicPr>
                        <pic:blipFill>
                          <a:blip r:embed="rId44"/>
                          <a:stretch>
                            <a:fillRect/>
                          </a:stretch>
                        </pic:blipFill>
                        <pic:spPr>
                          <a:xfrm>
                            <a:off x="0" y="0"/>
                            <a:ext cx="2729865" cy="2046605"/>
                          </a:xfrm>
                          <a:prstGeom prst="rect">
                            <a:avLst/>
                          </a:prstGeom>
                        </pic:spPr>
                      </pic:pic>
                    </a:graphicData>
                  </a:graphic>
                </wp:inline>
              </w:drawing>
            </w:r>
          </w:p>
        </w:tc>
        <w:tc>
          <w:tcPr>
            <w:tcW w:w="4541" w:type="dxa"/>
          </w:tcPr>
          <w:p w14:paraId="14F17269">
            <w:pPr>
              <w:spacing w:line="240" w:lineRule="auto"/>
              <w:ind w:firstLine="0" w:firstLineChars="0"/>
              <w:jc w:val="center"/>
              <w:rPr>
                <w:color w:val="auto"/>
              </w:rPr>
            </w:pPr>
            <w:r>
              <w:rPr>
                <w:rFonts w:hint="eastAsia"/>
                <w:color w:val="auto"/>
              </w:rPr>
              <w:drawing>
                <wp:inline distT="0" distB="0" distL="114300" distR="114300">
                  <wp:extent cx="2729865" cy="2046605"/>
                  <wp:effectExtent l="0" t="0" r="13335" b="10795"/>
                  <wp:docPr id="84" name="图片 84" descr="成品间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成品间2"/>
                          <pic:cNvPicPr>
                            <a:picLocks noChangeAspect="1"/>
                          </pic:cNvPicPr>
                        </pic:nvPicPr>
                        <pic:blipFill>
                          <a:blip r:embed="rId45"/>
                          <a:stretch>
                            <a:fillRect/>
                          </a:stretch>
                        </pic:blipFill>
                        <pic:spPr>
                          <a:xfrm>
                            <a:off x="0" y="0"/>
                            <a:ext cx="2729865" cy="2046605"/>
                          </a:xfrm>
                          <a:prstGeom prst="rect">
                            <a:avLst/>
                          </a:prstGeom>
                        </pic:spPr>
                      </pic:pic>
                    </a:graphicData>
                  </a:graphic>
                </wp:inline>
              </w:drawing>
            </w:r>
          </w:p>
        </w:tc>
      </w:tr>
      <w:tr w14:paraId="5C092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0" w:type="dxa"/>
            <w:gridSpan w:val="2"/>
          </w:tcPr>
          <w:p w14:paraId="70A0988C">
            <w:pPr>
              <w:spacing w:line="240" w:lineRule="auto"/>
              <w:ind w:firstLine="0" w:firstLineChars="0"/>
              <w:jc w:val="center"/>
              <w:rPr>
                <w:color w:val="auto"/>
              </w:rPr>
            </w:pPr>
            <w:r>
              <w:rPr>
                <w:rFonts w:hint="eastAsia"/>
                <w:color w:val="auto"/>
              </w:rPr>
              <w:t>成品间</w:t>
            </w:r>
          </w:p>
        </w:tc>
      </w:tr>
      <w:tr w14:paraId="0EDD1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9" w:type="dxa"/>
          </w:tcPr>
          <w:p w14:paraId="6712C8E7">
            <w:pPr>
              <w:spacing w:line="240" w:lineRule="auto"/>
              <w:ind w:firstLine="0" w:firstLineChars="0"/>
              <w:jc w:val="center"/>
              <w:rPr>
                <w:color w:val="auto"/>
              </w:rPr>
            </w:pPr>
            <w:r>
              <w:rPr>
                <w:rFonts w:hint="eastAsia"/>
                <w:color w:val="auto"/>
              </w:rPr>
              <w:drawing>
                <wp:inline distT="0" distB="0" distL="114300" distR="114300">
                  <wp:extent cx="2729865" cy="2046605"/>
                  <wp:effectExtent l="0" t="0" r="13335" b="10795"/>
                  <wp:docPr id="85" name="图片 85" descr="大门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大门 (2)"/>
                          <pic:cNvPicPr>
                            <a:picLocks noChangeAspect="1"/>
                          </pic:cNvPicPr>
                        </pic:nvPicPr>
                        <pic:blipFill>
                          <a:blip r:embed="rId46"/>
                          <a:stretch>
                            <a:fillRect/>
                          </a:stretch>
                        </pic:blipFill>
                        <pic:spPr>
                          <a:xfrm>
                            <a:off x="0" y="0"/>
                            <a:ext cx="2729865" cy="2046605"/>
                          </a:xfrm>
                          <a:prstGeom prst="rect">
                            <a:avLst/>
                          </a:prstGeom>
                        </pic:spPr>
                      </pic:pic>
                    </a:graphicData>
                  </a:graphic>
                </wp:inline>
              </w:drawing>
            </w:r>
          </w:p>
        </w:tc>
        <w:tc>
          <w:tcPr>
            <w:tcW w:w="4541" w:type="dxa"/>
          </w:tcPr>
          <w:p w14:paraId="56B23D0E">
            <w:pPr>
              <w:spacing w:line="240" w:lineRule="auto"/>
              <w:ind w:firstLine="0" w:firstLineChars="0"/>
              <w:jc w:val="center"/>
              <w:rPr>
                <w:color w:val="auto"/>
              </w:rPr>
            </w:pPr>
            <w:r>
              <w:rPr>
                <w:rFonts w:hint="eastAsia"/>
                <w:color w:val="auto"/>
              </w:rPr>
              <w:drawing>
                <wp:inline distT="0" distB="0" distL="114300" distR="114300">
                  <wp:extent cx="2729865" cy="2046605"/>
                  <wp:effectExtent l="0" t="0" r="13335" b="10795"/>
                  <wp:docPr id="86" name="图片 86" descr="大门对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大门对面"/>
                          <pic:cNvPicPr>
                            <a:picLocks noChangeAspect="1"/>
                          </pic:cNvPicPr>
                        </pic:nvPicPr>
                        <pic:blipFill>
                          <a:blip r:embed="rId47"/>
                          <a:stretch>
                            <a:fillRect/>
                          </a:stretch>
                        </pic:blipFill>
                        <pic:spPr>
                          <a:xfrm>
                            <a:off x="0" y="0"/>
                            <a:ext cx="2729865" cy="2046605"/>
                          </a:xfrm>
                          <a:prstGeom prst="rect">
                            <a:avLst/>
                          </a:prstGeom>
                        </pic:spPr>
                      </pic:pic>
                    </a:graphicData>
                  </a:graphic>
                </wp:inline>
              </w:drawing>
            </w:r>
          </w:p>
        </w:tc>
      </w:tr>
      <w:tr w14:paraId="3B70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9" w:type="dxa"/>
          </w:tcPr>
          <w:p w14:paraId="526B7171">
            <w:pPr>
              <w:spacing w:line="240" w:lineRule="auto"/>
              <w:ind w:firstLine="0" w:firstLineChars="0"/>
              <w:jc w:val="center"/>
              <w:rPr>
                <w:color w:val="auto"/>
              </w:rPr>
            </w:pPr>
            <w:r>
              <w:rPr>
                <w:rFonts w:hint="eastAsia"/>
                <w:color w:val="auto"/>
              </w:rPr>
              <w:t>大门</w:t>
            </w:r>
          </w:p>
        </w:tc>
        <w:tc>
          <w:tcPr>
            <w:tcW w:w="4541" w:type="dxa"/>
          </w:tcPr>
          <w:p w14:paraId="7EEBE9AB">
            <w:pPr>
              <w:spacing w:line="240" w:lineRule="auto"/>
              <w:ind w:firstLine="0" w:firstLineChars="0"/>
              <w:jc w:val="center"/>
              <w:rPr>
                <w:color w:val="auto"/>
              </w:rPr>
            </w:pPr>
            <w:r>
              <w:rPr>
                <w:rFonts w:hint="eastAsia"/>
                <w:color w:val="auto"/>
              </w:rPr>
              <w:t>大门对面</w:t>
            </w:r>
          </w:p>
        </w:tc>
      </w:tr>
      <w:tr w14:paraId="62D7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9" w:type="dxa"/>
          </w:tcPr>
          <w:p w14:paraId="5BA2042C">
            <w:pPr>
              <w:spacing w:line="240" w:lineRule="auto"/>
              <w:ind w:firstLine="0" w:firstLineChars="0"/>
              <w:jc w:val="center"/>
              <w:rPr>
                <w:color w:val="auto"/>
              </w:rPr>
            </w:pPr>
            <w:r>
              <w:rPr>
                <w:rFonts w:hint="eastAsia"/>
                <w:color w:val="auto"/>
              </w:rPr>
              <w:drawing>
                <wp:inline distT="0" distB="0" distL="114300" distR="114300">
                  <wp:extent cx="2729865" cy="2046605"/>
                  <wp:effectExtent l="0" t="0" r="13335" b="10795"/>
                  <wp:docPr id="87" name="图片 87" descr="东面通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东面通道"/>
                          <pic:cNvPicPr>
                            <a:picLocks noChangeAspect="1"/>
                          </pic:cNvPicPr>
                        </pic:nvPicPr>
                        <pic:blipFill>
                          <a:blip r:embed="rId48"/>
                          <a:stretch>
                            <a:fillRect/>
                          </a:stretch>
                        </pic:blipFill>
                        <pic:spPr>
                          <a:xfrm>
                            <a:off x="0" y="0"/>
                            <a:ext cx="2729865" cy="2046605"/>
                          </a:xfrm>
                          <a:prstGeom prst="rect">
                            <a:avLst/>
                          </a:prstGeom>
                        </pic:spPr>
                      </pic:pic>
                    </a:graphicData>
                  </a:graphic>
                </wp:inline>
              </w:drawing>
            </w:r>
          </w:p>
        </w:tc>
        <w:tc>
          <w:tcPr>
            <w:tcW w:w="4541" w:type="dxa"/>
          </w:tcPr>
          <w:p w14:paraId="7186FE52">
            <w:pPr>
              <w:spacing w:line="240" w:lineRule="auto"/>
              <w:ind w:firstLine="0" w:firstLineChars="0"/>
              <w:jc w:val="center"/>
              <w:rPr>
                <w:color w:val="auto"/>
              </w:rPr>
            </w:pPr>
            <w:r>
              <w:rPr>
                <w:rFonts w:hint="eastAsia"/>
                <w:color w:val="auto"/>
              </w:rPr>
              <w:drawing>
                <wp:inline distT="0" distB="0" distL="114300" distR="114300">
                  <wp:extent cx="2729865" cy="2046605"/>
                  <wp:effectExtent l="0" t="0" r="13335" b="10795"/>
                  <wp:docPr id="88" name="图片 88" descr="南面的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南面的厂"/>
                          <pic:cNvPicPr>
                            <a:picLocks noChangeAspect="1"/>
                          </pic:cNvPicPr>
                        </pic:nvPicPr>
                        <pic:blipFill>
                          <a:blip r:embed="rId49"/>
                          <a:stretch>
                            <a:fillRect/>
                          </a:stretch>
                        </pic:blipFill>
                        <pic:spPr>
                          <a:xfrm>
                            <a:off x="0" y="0"/>
                            <a:ext cx="2729865" cy="2046605"/>
                          </a:xfrm>
                          <a:prstGeom prst="rect">
                            <a:avLst/>
                          </a:prstGeom>
                        </pic:spPr>
                      </pic:pic>
                    </a:graphicData>
                  </a:graphic>
                </wp:inline>
              </w:drawing>
            </w:r>
          </w:p>
        </w:tc>
      </w:tr>
      <w:tr w14:paraId="6787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9" w:type="dxa"/>
          </w:tcPr>
          <w:p w14:paraId="03CA08DE">
            <w:pPr>
              <w:spacing w:line="240" w:lineRule="auto"/>
              <w:ind w:firstLine="0" w:firstLineChars="0"/>
              <w:jc w:val="center"/>
              <w:rPr>
                <w:color w:val="auto"/>
              </w:rPr>
            </w:pPr>
            <w:r>
              <w:rPr>
                <w:rFonts w:hint="eastAsia"/>
                <w:color w:val="auto"/>
              </w:rPr>
              <w:t>东侧</w:t>
            </w:r>
          </w:p>
        </w:tc>
        <w:tc>
          <w:tcPr>
            <w:tcW w:w="4541" w:type="dxa"/>
          </w:tcPr>
          <w:p w14:paraId="78C2E2E5">
            <w:pPr>
              <w:spacing w:line="240" w:lineRule="auto"/>
              <w:ind w:firstLine="0" w:firstLineChars="0"/>
              <w:jc w:val="center"/>
              <w:rPr>
                <w:color w:val="auto"/>
              </w:rPr>
            </w:pPr>
            <w:r>
              <w:rPr>
                <w:rFonts w:hint="eastAsia"/>
                <w:color w:val="auto"/>
              </w:rPr>
              <w:t>南侧</w:t>
            </w:r>
          </w:p>
        </w:tc>
      </w:tr>
    </w:tbl>
    <w:p w14:paraId="4E5B7407">
      <w:pPr>
        <w:ind w:firstLine="0" w:firstLineChars="0"/>
        <w:jc w:val="center"/>
        <w:rPr>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257F139A">
      <w:pPr>
        <w:pStyle w:val="2"/>
        <w:ind w:left="0"/>
        <w:rPr>
          <w:rFonts w:hint="eastAsia"/>
          <w:color w:val="auto"/>
        </w:rPr>
      </w:pPr>
      <w:bookmarkStart w:id="21" w:name="_Toc22797"/>
      <w:r>
        <w:rPr>
          <w:rFonts w:hint="eastAsia"/>
          <w:color w:val="auto"/>
        </w:rPr>
        <w:t>附图10 新兴小城镇产业园区控制性详细规划图</w:t>
      </w:r>
      <w:bookmarkEnd w:id="21"/>
    </w:p>
    <w:p w14:paraId="5EF22925">
      <w:pPr>
        <w:rPr>
          <w:rFonts w:hint="default" w:eastAsia="宋体"/>
          <w:lang w:val="en-US" w:eastAsia="zh-CN"/>
        </w:rPr>
      </w:pPr>
      <w:r>
        <w:rPr>
          <w:rFonts w:hint="eastAsia"/>
          <w:color w:val="auto"/>
          <w:lang w:val="en-US" w:eastAsia="zh-CN"/>
        </w:rPr>
        <w:t>***</w:t>
      </w:r>
    </w:p>
    <w:p w14:paraId="171FB35F">
      <w:pPr>
        <w:pStyle w:val="7"/>
        <w:ind w:firstLine="0" w:firstLineChars="0"/>
        <w:jc w:val="center"/>
        <w:rPr>
          <w:color w:val="auto"/>
          <w:lang w:val="en-US"/>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14:paraId="401DAAA0">
      <w:pPr>
        <w:pStyle w:val="2"/>
        <w:ind w:left="0"/>
        <w:rPr>
          <w:rFonts w:hint="eastAsia" w:eastAsia="黑体"/>
          <w:color w:val="auto"/>
          <w:lang w:val="en-US" w:eastAsia="zh-CN"/>
        </w:rPr>
      </w:pPr>
      <w:bookmarkStart w:id="22" w:name="_Toc2165"/>
      <w:r>
        <w:rPr>
          <w:rFonts w:hint="eastAsia"/>
          <w:color w:val="auto"/>
          <w:lang w:val="en-US" w:eastAsia="zh-CN"/>
        </w:rPr>
        <w:t>附件</w:t>
      </w:r>
      <w:bookmarkEnd w:id="22"/>
    </w:p>
    <w:p w14:paraId="3630EE5F">
      <w:pPr>
        <w:pStyle w:val="2"/>
        <w:ind w:left="0"/>
        <w:rPr>
          <w:color w:val="auto"/>
        </w:rPr>
      </w:pPr>
      <w:bookmarkStart w:id="23" w:name="_Toc4275"/>
      <w:r>
        <w:rPr>
          <w:rFonts w:hint="eastAsia"/>
          <w:color w:val="auto"/>
        </w:rPr>
        <w:t>附件1 环评委托书</w:t>
      </w:r>
      <w:bookmarkEnd w:id="23"/>
    </w:p>
    <w:p w14:paraId="0E358875">
      <w:pPr>
        <w:ind w:firstLine="0" w:firstLineChars="0"/>
        <w:rPr>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default"/>
          <w:color w:val="auto"/>
          <w:lang w:val="en-US" w:eastAsia="zh-CN"/>
        </w:rPr>
        <w:drawing>
          <wp:inline distT="0" distB="0" distL="114300" distR="114300">
            <wp:extent cx="5039360" cy="7262495"/>
            <wp:effectExtent l="0" t="0" r="8890" b="14605"/>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50"/>
                    <a:stretch>
                      <a:fillRect/>
                    </a:stretch>
                  </pic:blipFill>
                  <pic:spPr>
                    <a:xfrm>
                      <a:off x="0" y="0"/>
                      <a:ext cx="5039360" cy="7262495"/>
                    </a:xfrm>
                    <a:prstGeom prst="rect">
                      <a:avLst/>
                    </a:prstGeom>
                    <a:noFill/>
                    <a:ln>
                      <a:noFill/>
                    </a:ln>
                  </pic:spPr>
                </pic:pic>
              </a:graphicData>
            </a:graphic>
          </wp:inline>
        </w:drawing>
      </w:r>
    </w:p>
    <w:p w14:paraId="36C0B118">
      <w:pPr>
        <w:pStyle w:val="2"/>
        <w:ind w:left="0"/>
        <w:rPr>
          <w:color w:val="auto"/>
        </w:rPr>
      </w:pPr>
      <w:bookmarkStart w:id="24" w:name="_Toc1864"/>
      <w:r>
        <w:rPr>
          <w:rFonts w:hint="eastAsia"/>
          <w:color w:val="auto"/>
        </w:rPr>
        <w:t>附件2 营业执照</w:t>
      </w:r>
      <w:bookmarkEnd w:id="24"/>
    </w:p>
    <w:p w14:paraId="1956AF3A">
      <w:pPr>
        <w:pStyle w:val="7"/>
        <w:ind w:firstLine="0" w:firstLineChars="0"/>
        <w:jc w:val="center"/>
        <w:rPr>
          <w:color w:val="auto"/>
          <w:lang w:val="en-US"/>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rFonts w:hint="eastAsia"/>
          <w:color w:val="auto"/>
          <w:lang w:val="en-US"/>
        </w:rPr>
        <w:drawing>
          <wp:inline distT="0" distB="0" distL="114300" distR="114300">
            <wp:extent cx="6737985" cy="4898390"/>
            <wp:effectExtent l="0" t="0" r="5715" b="16510"/>
            <wp:docPr id="11" name="图片 11" descr="营业执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营业执照"/>
                    <pic:cNvPicPr>
                      <a:picLocks noChangeAspect="1"/>
                    </pic:cNvPicPr>
                  </pic:nvPicPr>
                  <pic:blipFill>
                    <a:blip r:embed="rId51"/>
                    <a:stretch>
                      <a:fillRect/>
                    </a:stretch>
                  </pic:blipFill>
                  <pic:spPr>
                    <a:xfrm>
                      <a:off x="0" y="0"/>
                      <a:ext cx="6737985" cy="4898390"/>
                    </a:xfrm>
                    <a:prstGeom prst="rect">
                      <a:avLst/>
                    </a:prstGeom>
                  </pic:spPr>
                </pic:pic>
              </a:graphicData>
            </a:graphic>
          </wp:inline>
        </w:drawing>
      </w:r>
    </w:p>
    <w:p w14:paraId="2D8CFED1">
      <w:pPr>
        <w:pStyle w:val="2"/>
        <w:ind w:left="0"/>
        <w:rPr>
          <w:color w:val="auto"/>
        </w:rPr>
      </w:pPr>
      <w:bookmarkStart w:id="25" w:name="_Toc15750"/>
      <w:r>
        <w:rPr>
          <w:rFonts w:hint="eastAsia"/>
          <w:color w:val="auto"/>
        </w:rPr>
        <w:t>附件3 备案赋码表</w:t>
      </w:r>
      <w:bookmarkEnd w:id="25"/>
    </w:p>
    <w:p w14:paraId="15185AFD">
      <w:pPr>
        <w:ind w:firstLine="0" w:firstLineChars="0"/>
        <w:jc w:val="center"/>
        <w:rPr>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sz w:val="24"/>
        </w:rPr>
        <mc:AlternateContent>
          <mc:Choice Requires="wps">
            <w:drawing>
              <wp:anchor distT="0" distB="0" distL="114300" distR="114300" simplePos="0" relativeHeight="251688960" behindDoc="0" locked="0" layoutInCell="1" allowOverlap="1">
                <wp:simplePos x="0" y="0"/>
                <wp:positionH relativeFrom="column">
                  <wp:posOffset>1544320</wp:posOffset>
                </wp:positionH>
                <wp:positionV relativeFrom="paragraph">
                  <wp:posOffset>7447915</wp:posOffset>
                </wp:positionV>
                <wp:extent cx="2822575" cy="160655"/>
                <wp:effectExtent l="12700" t="12700" r="22225" b="17145"/>
                <wp:wrapNone/>
                <wp:docPr id="74" name="矩形 74"/>
                <wp:cNvGraphicFramePr/>
                <a:graphic xmlns:a="http://schemas.openxmlformats.org/drawingml/2006/main">
                  <a:graphicData uri="http://schemas.microsoft.com/office/word/2010/wordprocessingShape">
                    <wps:wsp>
                      <wps:cNvSpPr/>
                      <wps:spPr>
                        <a:xfrm>
                          <a:off x="2516505" y="8973185"/>
                          <a:ext cx="2822575" cy="160655"/>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1.6pt;margin-top:586.45pt;height:12.65pt;width:222.25pt;z-index:251688960;v-text-anchor:middle;mso-width-relative:page;mso-height-relative:page;" fillcolor="#4F81BD [3204]" filled="t" stroked="t" coordsize="21600,21600" o:gfxdata="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O4fra9wAAAANAQAA&#10;DwAAAAAAAAABACAAAAAiAAAAZHJzL2Rvd25yZXYueG1sUEsBAhQAFAAAAAgAh07iQATgkveHAgAA&#10;DQUAAA4AAAAAAAAAAQAgAAAAKwEAAGRycy9lMm9Eb2MueG1sUEsFBgAAAAAGAAYAWQEAACQGAAAA&#10;AA==&#10;">
                <v:fill on="t" focussize="0,0"/>
                <v:stroke weight="2pt" color="#376092 [2404]" joinstyle="round"/>
                <v:imagedata o:title=""/>
                <o:lock v:ext="edit" aspectratio="f"/>
              </v:rect>
            </w:pict>
          </mc:Fallback>
        </mc:AlternateContent>
      </w:r>
      <w:r>
        <w:rPr>
          <w:color w:val="auto"/>
        </w:rPr>
        <w:drawing>
          <wp:inline distT="0" distB="0" distL="114300" distR="114300">
            <wp:extent cx="5609590" cy="7959725"/>
            <wp:effectExtent l="0" t="0" r="10160" b="3175"/>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52"/>
                    <a:stretch>
                      <a:fillRect/>
                    </a:stretch>
                  </pic:blipFill>
                  <pic:spPr>
                    <a:xfrm>
                      <a:off x="0" y="0"/>
                      <a:ext cx="5609590" cy="7959725"/>
                    </a:xfrm>
                    <a:prstGeom prst="rect">
                      <a:avLst/>
                    </a:prstGeom>
                    <a:noFill/>
                    <a:ln>
                      <a:noFill/>
                    </a:ln>
                  </pic:spPr>
                </pic:pic>
              </a:graphicData>
            </a:graphic>
          </wp:inline>
        </w:drawing>
      </w:r>
      <w:r>
        <w:rPr>
          <w:sz w:val="24"/>
        </w:rPr>
        <mc:AlternateContent>
          <mc:Choice Requires="wps">
            <w:drawing>
              <wp:anchor distT="0" distB="0" distL="114300" distR="114300" simplePos="0" relativeHeight="251689984" behindDoc="0" locked="0" layoutInCell="1" allowOverlap="1">
                <wp:simplePos x="0" y="0"/>
                <wp:positionH relativeFrom="column">
                  <wp:posOffset>1548130</wp:posOffset>
                </wp:positionH>
                <wp:positionV relativeFrom="paragraph">
                  <wp:posOffset>323850</wp:posOffset>
                </wp:positionV>
                <wp:extent cx="3637915" cy="321310"/>
                <wp:effectExtent l="12700" t="12700" r="26035" b="27940"/>
                <wp:wrapNone/>
                <wp:docPr id="89" name="矩形 89"/>
                <wp:cNvGraphicFramePr/>
                <a:graphic xmlns:a="http://schemas.openxmlformats.org/drawingml/2006/main">
                  <a:graphicData uri="http://schemas.microsoft.com/office/word/2010/wordprocessingShape">
                    <wps:wsp>
                      <wps:cNvSpPr/>
                      <wps:spPr>
                        <a:xfrm>
                          <a:off x="2520315" y="1403985"/>
                          <a:ext cx="3637915" cy="32131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1.9pt;margin-top:25.5pt;height:25.3pt;width:286.45pt;z-index:251689984;v-text-anchor:middle;mso-width-relative:page;mso-height-relative:page;" fillcolor="#4F81BD [3204]" filled="t" stroked="t" coordsize="21600,21600" o:gfxdata="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iSlVU9kAAAAKAQAADwAA&#10;AAAAAAABACAAAAAiAAAAZHJzL2Rvd25yZXYueG1sUEsBAhQAFAAAAAgAh07iQIk1VSGHAgAADQUA&#10;AA4AAAAAAAAAAQAgAAAAKAEAAGRycy9lMm9Eb2MueG1sUEsFBgAAAAAGAAYAWQEAACEGAAAAAA==&#10;">
                <v:fill on="t" focussize="0,0"/>
                <v:stroke weight="2pt" color="#376092 [2404]" joinstyle="round"/>
                <v:imagedata o:title=""/>
                <o:lock v:ext="edit" aspectratio="f"/>
              </v:rect>
            </w:pict>
          </mc:Fallback>
        </mc:AlternateContent>
      </w:r>
      <w:r>
        <w:rPr>
          <w:color w:val="auto"/>
        </w:rPr>
        <w:drawing>
          <wp:inline distT="0" distB="0" distL="114300" distR="114300">
            <wp:extent cx="5612130" cy="7968615"/>
            <wp:effectExtent l="0" t="0" r="7620" b="13335"/>
            <wp:docPr id="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pic:cNvPicPr>
                      <a:picLocks noChangeAspect="1"/>
                    </pic:cNvPicPr>
                  </pic:nvPicPr>
                  <pic:blipFill>
                    <a:blip r:embed="rId53"/>
                    <a:stretch>
                      <a:fillRect/>
                    </a:stretch>
                  </pic:blipFill>
                  <pic:spPr>
                    <a:xfrm>
                      <a:off x="0" y="0"/>
                      <a:ext cx="5612130" cy="7968615"/>
                    </a:xfrm>
                    <a:prstGeom prst="rect">
                      <a:avLst/>
                    </a:prstGeom>
                    <a:noFill/>
                    <a:ln>
                      <a:noFill/>
                    </a:ln>
                  </pic:spPr>
                </pic:pic>
              </a:graphicData>
            </a:graphic>
          </wp:inline>
        </w:drawing>
      </w:r>
    </w:p>
    <w:p w14:paraId="62676530">
      <w:pPr>
        <w:pStyle w:val="2"/>
        <w:ind w:left="0"/>
        <w:rPr>
          <w:color w:val="auto"/>
        </w:rPr>
      </w:pPr>
      <w:bookmarkStart w:id="26" w:name="_Toc13576"/>
      <w:r>
        <w:rPr>
          <w:rFonts w:hint="eastAsia"/>
          <w:color w:val="auto"/>
        </w:rPr>
        <w:t>附件4 产权证明</w:t>
      </w:r>
      <w:bookmarkEnd w:id="26"/>
    </w:p>
    <w:p w14:paraId="33A1D501">
      <w:pPr>
        <w:ind w:firstLine="0" w:firstLineChars="0"/>
        <w:jc w:val="center"/>
        <w:rPr>
          <w:color w:val="auto"/>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color w:val="auto"/>
        </w:rPr>
        <w:drawing>
          <wp:inline distT="0" distB="0" distL="114300" distR="114300">
            <wp:extent cx="6480175" cy="4789805"/>
            <wp:effectExtent l="0" t="0" r="15875" b="10795"/>
            <wp:docPr id="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
                    <pic:cNvPicPr>
                      <a:picLocks noChangeAspect="1"/>
                    </pic:cNvPicPr>
                  </pic:nvPicPr>
                  <pic:blipFill>
                    <a:blip r:embed="rId54"/>
                    <a:stretch>
                      <a:fillRect/>
                    </a:stretch>
                  </pic:blipFill>
                  <pic:spPr>
                    <a:xfrm>
                      <a:off x="0" y="0"/>
                      <a:ext cx="6480175" cy="4789805"/>
                    </a:xfrm>
                    <a:prstGeom prst="rect">
                      <a:avLst/>
                    </a:prstGeom>
                    <a:noFill/>
                    <a:ln>
                      <a:noFill/>
                    </a:ln>
                  </pic:spPr>
                </pic:pic>
              </a:graphicData>
            </a:graphic>
          </wp:inline>
        </w:drawing>
      </w:r>
      <w:r>
        <w:rPr>
          <w:color w:val="auto"/>
        </w:rPr>
        <w:drawing>
          <wp:inline distT="0" distB="0" distL="114300" distR="114300">
            <wp:extent cx="7200265" cy="5327015"/>
            <wp:effectExtent l="0" t="0" r="635" b="6985"/>
            <wp:docPr id="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
                    <pic:cNvPicPr>
                      <a:picLocks noChangeAspect="1"/>
                    </pic:cNvPicPr>
                  </pic:nvPicPr>
                  <pic:blipFill>
                    <a:blip r:embed="rId55"/>
                    <a:stretch>
                      <a:fillRect/>
                    </a:stretch>
                  </pic:blipFill>
                  <pic:spPr>
                    <a:xfrm>
                      <a:off x="0" y="0"/>
                      <a:ext cx="7200265" cy="5327015"/>
                    </a:xfrm>
                    <a:prstGeom prst="rect">
                      <a:avLst/>
                    </a:prstGeom>
                    <a:noFill/>
                    <a:ln>
                      <a:noFill/>
                    </a:ln>
                  </pic:spPr>
                </pic:pic>
              </a:graphicData>
            </a:graphic>
          </wp:inline>
        </w:drawing>
      </w:r>
      <w:r>
        <w:rPr>
          <w:color w:val="auto"/>
        </w:rPr>
        <w:drawing>
          <wp:inline distT="0" distB="0" distL="114300" distR="114300">
            <wp:extent cx="7200265" cy="5299075"/>
            <wp:effectExtent l="0" t="0" r="635" b="15875"/>
            <wp:docPr id="4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6"/>
                    <pic:cNvPicPr>
                      <a:picLocks noChangeAspect="1"/>
                    </pic:cNvPicPr>
                  </pic:nvPicPr>
                  <pic:blipFill>
                    <a:blip r:embed="rId56"/>
                    <a:stretch>
                      <a:fillRect/>
                    </a:stretch>
                  </pic:blipFill>
                  <pic:spPr>
                    <a:xfrm>
                      <a:off x="0" y="0"/>
                      <a:ext cx="7200265" cy="5299075"/>
                    </a:xfrm>
                    <a:prstGeom prst="rect">
                      <a:avLst/>
                    </a:prstGeom>
                    <a:noFill/>
                    <a:ln>
                      <a:noFill/>
                    </a:ln>
                  </pic:spPr>
                </pic:pic>
              </a:graphicData>
            </a:graphic>
          </wp:inline>
        </w:drawing>
      </w:r>
    </w:p>
    <w:p w14:paraId="627556C9">
      <w:pPr>
        <w:pStyle w:val="2"/>
        <w:ind w:left="0"/>
        <w:rPr>
          <w:color w:val="auto"/>
        </w:rPr>
      </w:pPr>
      <w:bookmarkStart w:id="27" w:name="_Toc1857"/>
      <w:r>
        <w:rPr>
          <w:rFonts w:hint="eastAsia"/>
          <w:color w:val="auto"/>
        </w:rPr>
        <w:t>附件5 食品生产许可证</w:t>
      </w:r>
      <w:bookmarkEnd w:id="27"/>
    </w:p>
    <w:p w14:paraId="4A8F4B8A">
      <w:pPr>
        <w:ind w:firstLine="0" w:firstLineChars="0"/>
        <w:jc w:val="center"/>
        <w:rPr>
          <w:color w:val="auto"/>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color w:val="auto"/>
        </w:rPr>
        <w:drawing>
          <wp:inline distT="0" distB="0" distL="114300" distR="114300">
            <wp:extent cx="5039995" cy="7066915"/>
            <wp:effectExtent l="0" t="0" r="635" b="8255"/>
            <wp:docPr id="67" name="图片 67" descr="07a6e189-cd56-42fe-8b13-e119a2d3c5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07a6e189-cd56-42fe-8b13-e119a2d3c5c8"/>
                    <pic:cNvPicPr>
                      <a:picLocks noChangeAspect="1"/>
                    </pic:cNvPicPr>
                  </pic:nvPicPr>
                  <pic:blipFill>
                    <a:blip r:embed="rId57"/>
                    <a:stretch>
                      <a:fillRect/>
                    </a:stretch>
                  </pic:blipFill>
                  <pic:spPr>
                    <a:xfrm rot="16200000">
                      <a:off x="0" y="0"/>
                      <a:ext cx="5039995" cy="7066915"/>
                    </a:xfrm>
                    <a:prstGeom prst="rect">
                      <a:avLst/>
                    </a:prstGeom>
                  </pic:spPr>
                </pic:pic>
              </a:graphicData>
            </a:graphic>
          </wp:inline>
        </w:drawing>
      </w:r>
    </w:p>
    <w:p w14:paraId="7651C3E6">
      <w:pPr>
        <w:pStyle w:val="2"/>
        <w:ind w:left="0"/>
        <w:rPr>
          <w:rFonts w:hint="eastAsia"/>
          <w:color w:val="auto"/>
        </w:rPr>
      </w:pPr>
      <w:bookmarkStart w:id="28" w:name="_Toc4106"/>
      <w:r>
        <w:rPr>
          <w:rFonts w:hint="eastAsia"/>
          <w:color w:val="auto"/>
        </w:rPr>
        <w:t>附件6 法人身份证</w:t>
      </w:r>
      <w:bookmarkEnd w:id="28"/>
    </w:p>
    <w:p w14:paraId="4FD29EE9">
      <w:pPr>
        <w:rPr>
          <w:rFonts w:hint="default" w:eastAsia="宋体"/>
          <w:lang w:val="en-US" w:eastAsia="zh-CN"/>
        </w:rPr>
      </w:pPr>
      <w:r>
        <w:rPr>
          <w:rFonts w:hint="eastAsia"/>
          <w:color w:val="auto"/>
          <w:lang w:val="en-US" w:eastAsia="zh-CN"/>
        </w:rPr>
        <w:t>***</w:t>
      </w:r>
    </w:p>
    <w:p w14:paraId="39D5356F">
      <w:pPr>
        <w:pStyle w:val="7"/>
        <w:ind w:firstLine="0" w:firstLineChars="0"/>
        <w:jc w:val="center"/>
        <w:rPr>
          <w:color w:val="auto"/>
          <w:lang w:val="en-US"/>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436FA5F0">
      <w:pPr>
        <w:pStyle w:val="2"/>
        <w:ind w:left="0"/>
        <w:rPr>
          <w:color w:val="auto"/>
        </w:rPr>
      </w:pPr>
      <w:bookmarkStart w:id="29" w:name="_Toc14915"/>
      <w:r>
        <w:rPr>
          <w:rFonts w:hint="eastAsia"/>
          <w:color w:val="auto"/>
        </w:rPr>
        <w:t>附件7 企业责任说明书</w:t>
      </w:r>
      <w:bookmarkEnd w:id="29"/>
    </w:p>
    <w:p w14:paraId="2D3DAE06">
      <w:pPr>
        <w:pStyle w:val="7"/>
        <w:ind w:firstLine="0" w:firstLineChars="0"/>
        <w:jc w:val="center"/>
        <w:rPr>
          <w:color w:val="auto"/>
          <w:lang w:val="en-US"/>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default"/>
          <w:color w:val="auto"/>
          <w:lang w:val="en-US" w:eastAsia="zh-CN"/>
        </w:rPr>
        <w:drawing>
          <wp:inline distT="0" distB="0" distL="114300" distR="114300">
            <wp:extent cx="5607050" cy="7854315"/>
            <wp:effectExtent l="0" t="0" r="12700" b="13335"/>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58"/>
                    <a:stretch>
                      <a:fillRect/>
                    </a:stretch>
                  </pic:blipFill>
                  <pic:spPr>
                    <a:xfrm>
                      <a:off x="0" y="0"/>
                      <a:ext cx="5607050" cy="7854315"/>
                    </a:xfrm>
                    <a:prstGeom prst="rect">
                      <a:avLst/>
                    </a:prstGeom>
                    <a:noFill/>
                    <a:ln>
                      <a:noFill/>
                    </a:ln>
                  </pic:spPr>
                </pic:pic>
              </a:graphicData>
            </a:graphic>
          </wp:inline>
        </w:drawing>
      </w:r>
    </w:p>
    <w:p w14:paraId="3249DABF">
      <w:pPr>
        <w:pStyle w:val="2"/>
        <w:ind w:left="0"/>
        <w:rPr>
          <w:color w:val="auto"/>
        </w:rPr>
      </w:pPr>
      <w:bookmarkStart w:id="30" w:name="_Toc25868"/>
      <w:r>
        <w:rPr>
          <w:rFonts w:hint="eastAsia"/>
          <w:color w:val="auto"/>
        </w:rPr>
        <w:t>附件8 编制主持人现场勘察记录</w:t>
      </w:r>
      <w:bookmarkEnd w:id="30"/>
    </w:p>
    <w:p w14:paraId="56599E90">
      <w:pPr>
        <w:ind w:firstLine="0" w:firstLineChars="0"/>
        <w:jc w:val="center"/>
        <w:rPr>
          <w:rFonts w:hint="eastAsia" w:eastAsia="宋体"/>
          <w:color w:val="auto"/>
          <w:lang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sz w:val="24"/>
        </w:rPr>
        <mc:AlternateContent>
          <mc:Choice Requires="wps">
            <w:drawing>
              <wp:anchor distT="0" distB="0" distL="114300" distR="114300" simplePos="0" relativeHeight="251691008" behindDoc="0" locked="0" layoutInCell="1" allowOverlap="1">
                <wp:simplePos x="0" y="0"/>
                <wp:positionH relativeFrom="column">
                  <wp:posOffset>3890010</wp:posOffset>
                </wp:positionH>
                <wp:positionV relativeFrom="paragraph">
                  <wp:posOffset>1356995</wp:posOffset>
                </wp:positionV>
                <wp:extent cx="861060" cy="183515"/>
                <wp:effectExtent l="12700" t="12700" r="21590" b="13335"/>
                <wp:wrapNone/>
                <wp:docPr id="119" name="矩形 119"/>
                <wp:cNvGraphicFramePr/>
                <a:graphic xmlns:a="http://schemas.openxmlformats.org/drawingml/2006/main">
                  <a:graphicData uri="http://schemas.microsoft.com/office/word/2010/wordprocessingShape">
                    <wps:wsp>
                      <wps:cNvSpPr/>
                      <wps:spPr>
                        <a:xfrm>
                          <a:off x="4862195" y="2882265"/>
                          <a:ext cx="861060" cy="183515"/>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6.3pt;margin-top:106.85pt;height:14.45pt;width:67.8pt;z-index:251691008;v-text-anchor:middle;mso-width-relative:page;mso-height-relative:page;" fillcolor="#4F81BD [3204]" filled="t" stroked="t" coordsize="21600,21600" o:gfxdata="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GbZyItoAAAALAQAA&#10;DwAAAAAAAAABACAAAAAiAAAAZHJzL2Rvd25yZXYueG1sUEsBAhQAFAAAAAgAh07iQO6rcDeJAgAA&#10;DgUAAA4AAAAAAAAAAQAgAAAAKQEAAGRycy9lMm9Eb2MueG1sUEsFBgAAAAAGAAYAWQEAACQGAAAA&#10;AA==&#10;">
                <v:fill on="t" focussize="0,0"/>
                <v:stroke weight="2pt" color="#376092 [2404]" joinstyle="round"/>
                <v:imagedata o:title=""/>
                <o:lock v:ext="edit" aspectratio="f"/>
              </v:rect>
            </w:pict>
          </mc:Fallback>
        </mc:AlternateContent>
      </w:r>
      <w:r>
        <w:rPr>
          <w:rFonts w:hint="eastAsia" w:eastAsia="宋体"/>
          <w:color w:val="auto"/>
          <w:lang w:eastAsia="zh-CN"/>
        </w:rPr>
        <w:drawing>
          <wp:inline distT="0" distB="0" distL="114300" distR="114300">
            <wp:extent cx="5149215" cy="7549515"/>
            <wp:effectExtent l="0" t="0" r="13335" b="13335"/>
            <wp:docPr id="33" name="图片 33" descr="758661dfeb8f38b7ede150fdef199e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758661dfeb8f38b7ede150fdef199e3d"/>
                    <pic:cNvPicPr>
                      <a:picLocks noChangeAspect="1"/>
                    </pic:cNvPicPr>
                  </pic:nvPicPr>
                  <pic:blipFill>
                    <a:blip r:embed="rId59"/>
                    <a:stretch>
                      <a:fillRect/>
                    </a:stretch>
                  </pic:blipFill>
                  <pic:spPr>
                    <a:xfrm>
                      <a:off x="0" y="0"/>
                      <a:ext cx="5149215" cy="7549515"/>
                    </a:xfrm>
                    <a:prstGeom prst="rect">
                      <a:avLst/>
                    </a:prstGeom>
                  </pic:spPr>
                </pic:pic>
              </a:graphicData>
            </a:graphic>
          </wp:inline>
        </w:drawing>
      </w:r>
    </w:p>
    <w:p w14:paraId="4724D799">
      <w:pPr>
        <w:pStyle w:val="2"/>
        <w:ind w:left="0"/>
        <w:rPr>
          <w:rStyle w:val="23"/>
          <w:b/>
          <w:bCs/>
          <w:color w:val="auto"/>
        </w:rPr>
      </w:pPr>
      <w:bookmarkStart w:id="31" w:name="_Toc17092"/>
      <w:r>
        <w:rPr>
          <w:sz w:val="30"/>
        </w:rPr>
        <mc:AlternateContent>
          <mc:Choice Requires="wps">
            <w:drawing>
              <wp:anchor distT="0" distB="0" distL="114300" distR="114300" simplePos="0" relativeHeight="251692032" behindDoc="0" locked="0" layoutInCell="1" allowOverlap="1">
                <wp:simplePos x="0" y="0"/>
                <wp:positionH relativeFrom="column">
                  <wp:posOffset>2908935</wp:posOffset>
                </wp:positionH>
                <wp:positionV relativeFrom="paragraph">
                  <wp:posOffset>6906895</wp:posOffset>
                </wp:positionV>
                <wp:extent cx="1319530" cy="504825"/>
                <wp:effectExtent l="12700" t="12700" r="20320" b="15875"/>
                <wp:wrapNone/>
                <wp:docPr id="120" name="矩形 120"/>
                <wp:cNvGraphicFramePr/>
                <a:graphic xmlns:a="http://schemas.openxmlformats.org/drawingml/2006/main">
                  <a:graphicData uri="http://schemas.microsoft.com/office/word/2010/wordprocessingShape">
                    <wps:wsp>
                      <wps:cNvSpPr/>
                      <wps:spPr>
                        <a:xfrm>
                          <a:off x="3881120" y="8009890"/>
                          <a:ext cx="1319530" cy="504825"/>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9.05pt;margin-top:543.85pt;height:39.75pt;width:103.9pt;z-index:251692032;v-text-anchor:middle;mso-width-relative:page;mso-height-relative:page;" fillcolor="#4F81BD [3204]" filled="t" stroked="t" coordsize="21600,21600" o:gfxdata="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A6sc5e3AAAAA0BAAAP&#10;AAAAAAAAAAEAIAAAACIAAABkcnMvZG93bnJldi54bWxQSwECFAAUAAAACACHTuJAcuurnYYCAAAP&#10;BQAADgAAAAAAAAABACAAAAArAQAAZHJzL2Uyb0RvYy54bWxQSwUGAAAAAAYABgBZAQAAIwYAAAAA&#10;">
                <v:fill on="t" focussize="0,0"/>
                <v:stroke weight="2pt" color="#376092 [2404]" joinstyle="round"/>
                <v:imagedata o:title=""/>
                <o:lock v:ext="edit" aspectratio="f"/>
              </v:rect>
            </w:pict>
          </mc:Fallback>
        </mc:AlternateContent>
      </w:r>
      <w:r>
        <w:rPr>
          <w:rStyle w:val="23"/>
          <w:rFonts w:hint="eastAsia"/>
          <w:b/>
          <w:bCs/>
          <w:color w:val="auto"/>
        </w:rPr>
        <w:drawing>
          <wp:inline distT="0" distB="0" distL="114300" distR="114300">
            <wp:extent cx="5648960" cy="8388350"/>
            <wp:effectExtent l="0" t="0" r="8890" b="12700"/>
            <wp:docPr id="20" name="图片 20" descr="acd6a3c808154af0a93b653c8b2d5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acd6a3c808154af0a93b653c8b2d53d1"/>
                    <pic:cNvPicPr>
                      <a:picLocks noChangeAspect="1"/>
                    </pic:cNvPicPr>
                  </pic:nvPicPr>
                  <pic:blipFill>
                    <a:blip r:embed="rId60"/>
                    <a:stretch>
                      <a:fillRect/>
                    </a:stretch>
                  </pic:blipFill>
                  <pic:spPr>
                    <a:xfrm>
                      <a:off x="0" y="0"/>
                      <a:ext cx="5648960" cy="8388350"/>
                    </a:xfrm>
                    <a:prstGeom prst="rect">
                      <a:avLst/>
                    </a:prstGeom>
                  </pic:spPr>
                </pic:pic>
              </a:graphicData>
            </a:graphic>
          </wp:inline>
        </w:drawing>
      </w:r>
      <w:r>
        <w:rPr>
          <w:rStyle w:val="23"/>
          <w:rFonts w:hint="eastAsia"/>
          <w:b/>
          <w:bCs/>
          <w:color w:val="auto"/>
        </w:rPr>
        <w:t>附件9 广西“生态云”平台建设项目智能研判报告</w:t>
      </w:r>
      <w:bookmarkEnd w:id="31"/>
    </w:p>
    <w:p w14:paraId="6B6FE7E3">
      <w:pPr>
        <w:pStyle w:val="7"/>
        <w:ind w:firstLine="0" w:firstLineChars="0"/>
        <w:rPr>
          <w:color w:val="auto"/>
          <w:lang w:val="en-US"/>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color w:val="auto"/>
          <w:lang w:val="en-US"/>
        </w:rPr>
        <w:drawing>
          <wp:inline distT="0" distB="0" distL="114300" distR="114300">
            <wp:extent cx="5608320" cy="7933055"/>
            <wp:effectExtent l="0" t="0" r="11430" b="10795"/>
            <wp:docPr id="10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21"/>
                    <pic:cNvPicPr>
                      <a:picLocks noChangeAspect="1"/>
                    </pic:cNvPicPr>
                  </pic:nvPicPr>
                  <pic:blipFill>
                    <a:blip r:embed="rId61"/>
                    <a:stretch>
                      <a:fillRect/>
                    </a:stretch>
                  </pic:blipFill>
                  <pic:spPr>
                    <a:xfrm>
                      <a:off x="0" y="0"/>
                      <a:ext cx="5608320" cy="7933055"/>
                    </a:xfrm>
                    <a:prstGeom prst="rect">
                      <a:avLst/>
                    </a:prstGeom>
                    <a:noFill/>
                    <a:ln>
                      <a:noFill/>
                    </a:ln>
                  </pic:spPr>
                </pic:pic>
              </a:graphicData>
            </a:graphic>
          </wp:inline>
        </w:drawing>
      </w:r>
      <w:r>
        <w:rPr>
          <w:color w:val="auto"/>
          <w:lang w:val="en-US"/>
        </w:rPr>
        <w:drawing>
          <wp:inline distT="0" distB="0" distL="114300" distR="114300">
            <wp:extent cx="5608320" cy="7933055"/>
            <wp:effectExtent l="0" t="0" r="11430" b="10795"/>
            <wp:docPr id="11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22"/>
                    <pic:cNvPicPr>
                      <a:picLocks noChangeAspect="1"/>
                    </pic:cNvPicPr>
                  </pic:nvPicPr>
                  <pic:blipFill>
                    <a:blip r:embed="rId62"/>
                    <a:stretch>
                      <a:fillRect/>
                    </a:stretch>
                  </pic:blipFill>
                  <pic:spPr>
                    <a:xfrm>
                      <a:off x="0" y="0"/>
                      <a:ext cx="5608320" cy="7933055"/>
                    </a:xfrm>
                    <a:prstGeom prst="rect">
                      <a:avLst/>
                    </a:prstGeom>
                    <a:noFill/>
                    <a:ln>
                      <a:noFill/>
                    </a:ln>
                  </pic:spPr>
                </pic:pic>
              </a:graphicData>
            </a:graphic>
          </wp:inline>
        </w:drawing>
      </w:r>
      <w:r>
        <w:rPr>
          <w:color w:val="auto"/>
          <w:lang w:val="en-US"/>
        </w:rPr>
        <w:drawing>
          <wp:inline distT="0" distB="0" distL="114300" distR="114300">
            <wp:extent cx="5608320" cy="7933055"/>
            <wp:effectExtent l="0" t="0" r="11430" b="10795"/>
            <wp:docPr id="11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23"/>
                    <pic:cNvPicPr>
                      <a:picLocks noChangeAspect="1"/>
                    </pic:cNvPicPr>
                  </pic:nvPicPr>
                  <pic:blipFill>
                    <a:blip r:embed="rId63"/>
                    <a:stretch>
                      <a:fillRect/>
                    </a:stretch>
                  </pic:blipFill>
                  <pic:spPr>
                    <a:xfrm>
                      <a:off x="0" y="0"/>
                      <a:ext cx="5608320" cy="7933055"/>
                    </a:xfrm>
                    <a:prstGeom prst="rect">
                      <a:avLst/>
                    </a:prstGeom>
                    <a:noFill/>
                    <a:ln>
                      <a:noFill/>
                    </a:ln>
                  </pic:spPr>
                </pic:pic>
              </a:graphicData>
            </a:graphic>
          </wp:inline>
        </w:drawing>
      </w:r>
      <w:r>
        <w:rPr>
          <w:color w:val="auto"/>
          <w:lang w:val="en-US"/>
        </w:rPr>
        <w:drawing>
          <wp:inline distT="0" distB="0" distL="114300" distR="114300">
            <wp:extent cx="5608320" cy="7933055"/>
            <wp:effectExtent l="0" t="0" r="11430" b="10795"/>
            <wp:docPr id="11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4"/>
                    <pic:cNvPicPr>
                      <a:picLocks noChangeAspect="1"/>
                    </pic:cNvPicPr>
                  </pic:nvPicPr>
                  <pic:blipFill>
                    <a:blip r:embed="rId64"/>
                    <a:stretch>
                      <a:fillRect/>
                    </a:stretch>
                  </pic:blipFill>
                  <pic:spPr>
                    <a:xfrm>
                      <a:off x="0" y="0"/>
                      <a:ext cx="5608320" cy="7933055"/>
                    </a:xfrm>
                    <a:prstGeom prst="rect">
                      <a:avLst/>
                    </a:prstGeom>
                    <a:noFill/>
                    <a:ln>
                      <a:noFill/>
                    </a:ln>
                  </pic:spPr>
                </pic:pic>
              </a:graphicData>
            </a:graphic>
          </wp:inline>
        </w:drawing>
      </w:r>
      <w:r>
        <w:rPr>
          <w:color w:val="auto"/>
          <w:lang w:val="en-US"/>
        </w:rPr>
        <w:drawing>
          <wp:inline distT="0" distB="0" distL="114300" distR="114300">
            <wp:extent cx="5608320" cy="7933055"/>
            <wp:effectExtent l="0" t="0" r="11430" b="10795"/>
            <wp:docPr id="11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25"/>
                    <pic:cNvPicPr>
                      <a:picLocks noChangeAspect="1"/>
                    </pic:cNvPicPr>
                  </pic:nvPicPr>
                  <pic:blipFill>
                    <a:blip r:embed="rId65"/>
                    <a:stretch>
                      <a:fillRect/>
                    </a:stretch>
                  </pic:blipFill>
                  <pic:spPr>
                    <a:xfrm>
                      <a:off x="0" y="0"/>
                      <a:ext cx="5608320" cy="7933055"/>
                    </a:xfrm>
                    <a:prstGeom prst="rect">
                      <a:avLst/>
                    </a:prstGeom>
                    <a:noFill/>
                    <a:ln>
                      <a:noFill/>
                    </a:ln>
                  </pic:spPr>
                </pic:pic>
              </a:graphicData>
            </a:graphic>
          </wp:inline>
        </w:drawing>
      </w:r>
      <w:r>
        <w:rPr>
          <w:color w:val="auto"/>
          <w:lang w:val="en-US"/>
        </w:rPr>
        <w:drawing>
          <wp:inline distT="0" distB="0" distL="114300" distR="114300">
            <wp:extent cx="5608320" cy="7933055"/>
            <wp:effectExtent l="0" t="0" r="11430" b="10795"/>
            <wp:docPr id="11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26"/>
                    <pic:cNvPicPr>
                      <a:picLocks noChangeAspect="1"/>
                    </pic:cNvPicPr>
                  </pic:nvPicPr>
                  <pic:blipFill>
                    <a:blip r:embed="rId66"/>
                    <a:stretch>
                      <a:fillRect/>
                    </a:stretch>
                  </pic:blipFill>
                  <pic:spPr>
                    <a:xfrm>
                      <a:off x="0" y="0"/>
                      <a:ext cx="5608320" cy="7933055"/>
                    </a:xfrm>
                    <a:prstGeom prst="rect">
                      <a:avLst/>
                    </a:prstGeom>
                    <a:noFill/>
                    <a:ln>
                      <a:noFill/>
                    </a:ln>
                  </pic:spPr>
                </pic:pic>
              </a:graphicData>
            </a:graphic>
          </wp:inline>
        </w:drawing>
      </w:r>
      <w:r>
        <w:rPr>
          <w:color w:val="auto"/>
          <w:lang w:val="en-US"/>
        </w:rPr>
        <w:drawing>
          <wp:inline distT="0" distB="0" distL="114300" distR="114300">
            <wp:extent cx="5608320" cy="7933055"/>
            <wp:effectExtent l="0" t="0" r="11430" b="10795"/>
            <wp:docPr id="11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27"/>
                    <pic:cNvPicPr>
                      <a:picLocks noChangeAspect="1"/>
                    </pic:cNvPicPr>
                  </pic:nvPicPr>
                  <pic:blipFill>
                    <a:blip r:embed="rId67"/>
                    <a:stretch>
                      <a:fillRect/>
                    </a:stretch>
                  </pic:blipFill>
                  <pic:spPr>
                    <a:xfrm>
                      <a:off x="0" y="0"/>
                      <a:ext cx="5608320" cy="7933055"/>
                    </a:xfrm>
                    <a:prstGeom prst="rect">
                      <a:avLst/>
                    </a:prstGeom>
                    <a:noFill/>
                    <a:ln>
                      <a:noFill/>
                    </a:ln>
                  </pic:spPr>
                </pic:pic>
              </a:graphicData>
            </a:graphic>
          </wp:inline>
        </w:drawing>
      </w:r>
      <w:r>
        <w:rPr>
          <w:color w:val="auto"/>
          <w:lang w:val="en-US"/>
        </w:rPr>
        <w:drawing>
          <wp:inline distT="0" distB="0" distL="114300" distR="114300">
            <wp:extent cx="5608320" cy="7933055"/>
            <wp:effectExtent l="0" t="0" r="11430" b="10795"/>
            <wp:docPr id="11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28"/>
                    <pic:cNvPicPr>
                      <a:picLocks noChangeAspect="1"/>
                    </pic:cNvPicPr>
                  </pic:nvPicPr>
                  <pic:blipFill>
                    <a:blip r:embed="rId68"/>
                    <a:stretch>
                      <a:fillRect/>
                    </a:stretch>
                  </pic:blipFill>
                  <pic:spPr>
                    <a:xfrm>
                      <a:off x="0" y="0"/>
                      <a:ext cx="5608320" cy="7933055"/>
                    </a:xfrm>
                    <a:prstGeom prst="rect">
                      <a:avLst/>
                    </a:prstGeom>
                    <a:noFill/>
                    <a:ln>
                      <a:noFill/>
                    </a:ln>
                  </pic:spPr>
                </pic:pic>
              </a:graphicData>
            </a:graphic>
          </wp:inline>
        </w:drawing>
      </w:r>
    </w:p>
    <w:p w14:paraId="3F1FF177">
      <w:pPr>
        <w:pStyle w:val="2"/>
        <w:ind w:left="0"/>
        <w:rPr>
          <w:color w:val="auto"/>
        </w:rPr>
      </w:pPr>
      <w:bookmarkStart w:id="32" w:name="_Toc16401"/>
      <w:r>
        <w:rPr>
          <w:rFonts w:hint="eastAsia"/>
          <w:color w:val="auto"/>
        </w:rPr>
        <w:t>附件10 入园证明</w:t>
      </w:r>
      <w:bookmarkEnd w:id="32"/>
    </w:p>
    <w:p w14:paraId="477F41C4">
      <w:pPr>
        <w:ind w:firstLine="0" w:firstLineChars="0"/>
        <w:jc w:val="center"/>
        <w:rPr>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sz w:val="24"/>
        </w:rPr>
        <mc:AlternateContent>
          <mc:Choice Requires="wps">
            <w:drawing>
              <wp:anchor distT="0" distB="0" distL="114300" distR="114300" simplePos="0" relativeHeight="251693056" behindDoc="0" locked="0" layoutInCell="1" allowOverlap="1">
                <wp:simplePos x="0" y="0"/>
                <wp:positionH relativeFrom="column">
                  <wp:posOffset>1136015</wp:posOffset>
                </wp:positionH>
                <wp:positionV relativeFrom="paragraph">
                  <wp:posOffset>5093970</wp:posOffset>
                </wp:positionV>
                <wp:extent cx="3569335" cy="470535"/>
                <wp:effectExtent l="12700" t="12700" r="18415" b="31115"/>
                <wp:wrapNone/>
                <wp:docPr id="121" name="矩形 121"/>
                <wp:cNvGraphicFramePr/>
                <a:graphic xmlns:a="http://schemas.openxmlformats.org/drawingml/2006/main">
                  <a:graphicData uri="http://schemas.microsoft.com/office/word/2010/wordprocessingShape">
                    <wps:wsp>
                      <wps:cNvSpPr/>
                      <wps:spPr>
                        <a:xfrm>
                          <a:off x="2108200" y="6619240"/>
                          <a:ext cx="3569335" cy="470535"/>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9.45pt;margin-top:401.1pt;height:37.05pt;width:281.05pt;z-index:251693056;v-text-anchor:middle;mso-width-relative:page;mso-height-relative:page;" fillcolor="#4F81BD [3204]" filled="t" stroked="t" coordsize="21600,21600" o:gfxdata="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D7E09toAAAALAQAADwAA&#10;AAAAAAABACAAAAAiAAAAZHJzL2Rvd25yZXYueG1sUEsBAhQAFAAAAAgAh07iQJcI1f+GAgAADwUA&#10;AA4AAAAAAAAAAQAgAAAAKQEAAGRycy9lMm9Eb2MueG1sUEsFBgAAAAAGAAYAWQEAACEGAAAAAA==&#10;">
                <v:fill on="t" focussize="0,0"/>
                <v:stroke weight="2pt" color="#376092 [2404]" joinstyle="round"/>
                <v:imagedata o:title=""/>
                <o:lock v:ext="edit" aspectratio="f"/>
              </v:rect>
            </w:pict>
          </mc:Fallback>
        </mc:AlternateContent>
      </w:r>
      <w:r>
        <w:rPr>
          <w:color w:val="auto"/>
        </w:rPr>
        <w:drawing>
          <wp:inline distT="0" distB="0" distL="114300" distR="114300">
            <wp:extent cx="5610225" cy="7900670"/>
            <wp:effectExtent l="0" t="0" r="9525" b="5080"/>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pic:cNvPicPr>
                  </pic:nvPicPr>
                  <pic:blipFill>
                    <a:blip r:embed="rId69"/>
                    <a:stretch>
                      <a:fillRect/>
                    </a:stretch>
                  </pic:blipFill>
                  <pic:spPr>
                    <a:xfrm>
                      <a:off x="0" y="0"/>
                      <a:ext cx="5610225" cy="7900670"/>
                    </a:xfrm>
                    <a:prstGeom prst="rect">
                      <a:avLst/>
                    </a:prstGeom>
                    <a:noFill/>
                    <a:ln>
                      <a:noFill/>
                    </a:ln>
                  </pic:spPr>
                </pic:pic>
              </a:graphicData>
            </a:graphic>
          </wp:inline>
        </w:drawing>
      </w:r>
    </w:p>
    <w:p w14:paraId="780AC661">
      <w:pPr>
        <w:pStyle w:val="2"/>
        <w:ind w:left="0"/>
        <w:rPr>
          <w:rFonts w:hint="eastAsia"/>
          <w:color w:val="auto"/>
        </w:rPr>
      </w:pPr>
      <w:bookmarkStart w:id="33" w:name="_Toc12993"/>
      <w:r>
        <w:rPr>
          <w:rFonts w:hint="eastAsia"/>
          <w:color w:val="auto"/>
        </w:rPr>
        <w:t>附件11 TSP数据引用监测报告</w:t>
      </w:r>
      <w:bookmarkEnd w:id="33"/>
    </w:p>
    <w:p w14:paraId="5AFA84A7">
      <w:pPr>
        <w:rPr>
          <w:rFonts w:hint="default" w:eastAsia="宋体"/>
          <w:lang w:val="en-US" w:eastAsia="zh-CN"/>
        </w:rPr>
      </w:pPr>
      <w:r>
        <w:rPr>
          <w:rFonts w:hint="eastAsia"/>
          <w:color w:val="auto"/>
          <w:lang w:val="en-US" w:eastAsia="zh-CN"/>
        </w:rPr>
        <w:t>***</w:t>
      </w:r>
    </w:p>
    <w:p w14:paraId="506970B2">
      <w:pPr>
        <w:pStyle w:val="7"/>
        <w:ind w:firstLine="0" w:firstLineChars="0"/>
        <w:rPr>
          <w:color w:val="auto"/>
          <w:lang w:val="en-US"/>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7815476F">
      <w:pPr>
        <w:pStyle w:val="2"/>
        <w:ind w:left="0"/>
        <w:rPr>
          <w:color w:val="auto"/>
        </w:rPr>
      </w:pPr>
      <w:bookmarkStart w:id="34" w:name="_Toc20762"/>
      <w:r>
        <w:rPr>
          <w:rFonts w:hint="eastAsia"/>
          <w:color w:val="auto"/>
        </w:rPr>
        <w:t>附件12 燃气管道合同</w:t>
      </w:r>
      <w:bookmarkEnd w:id="34"/>
    </w:p>
    <w:p w14:paraId="6362674E">
      <w:pPr>
        <w:pStyle w:val="7"/>
        <w:ind w:firstLine="0" w:firstLineChars="0"/>
        <w:rPr>
          <w:color w:val="auto"/>
          <w:lang w:val="en-US"/>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color w:val="auto"/>
          <w:lang w:val="en-US"/>
        </w:rPr>
        <w:drawing>
          <wp:inline distT="0" distB="0" distL="114300" distR="114300">
            <wp:extent cx="5613400" cy="7861300"/>
            <wp:effectExtent l="0" t="0" r="6350" b="6350"/>
            <wp:docPr id="9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3"/>
                    <pic:cNvPicPr>
                      <a:picLocks noChangeAspect="1"/>
                    </pic:cNvPicPr>
                  </pic:nvPicPr>
                  <pic:blipFill>
                    <a:blip r:embed="rId70"/>
                    <a:stretch>
                      <a:fillRect/>
                    </a:stretch>
                  </pic:blipFill>
                  <pic:spPr>
                    <a:xfrm>
                      <a:off x="0" y="0"/>
                      <a:ext cx="5613400" cy="7861300"/>
                    </a:xfrm>
                    <a:prstGeom prst="rect">
                      <a:avLst/>
                    </a:prstGeom>
                    <a:noFill/>
                    <a:ln>
                      <a:noFill/>
                    </a:ln>
                  </pic:spPr>
                </pic:pic>
              </a:graphicData>
            </a:graphic>
          </wp:inline>
        </w:drawing>
      </w:r>
      <w:r>
        <w:rPr>
          <w:sz w:val="24"/>
        </w:rPr>
        <mc:AlternateContent>
          <mc:Choice Requires="wps">
            <w:drawing>
              <wp:anchor distT="0" distB="0" distL="114300" distR="114300" simplePos="0" relativeHeight="251695104" behindDoc="0" locked="0" layoutInCell="1" allowOverlap="1">
                <wp:simplePos x="0" y="0"/>
                <wp:positionH relativeFrom="column">
                  <wp:posOffset>590550</wp:posOffset>
                </wp:positionH>
                <wp:positionV relativeFrom="paragraph">
                  <wp:posOffset>6431915</wp:posOffset>
                </wp:positionV>
                <wp:extent cx="4360545" cy="1009650"/>
                <wp:effectExtent l="12700" t="12700" r="27305" b="25400"/>
                <wp:wrapNone/>
                <wp:docPr id="123" name="矩形 123"/>
                <wp:cNvGraphicFramePr/>
                <a:graphic xmlns:a="http://schemas.openxmlformats.org/drawingml/2006/main">
                  <a:graphicData uri="http://schemas.microsoft.com/office/word/2010/wordprocessingShape">
                    <wps:wsp>
                      <wps:cNvSpPr/>
                      <wps:spPr>
                        <a:xfrm>
                          <a:off x="1562735" y="7512050"/>
                          <a:ext cx="4360545" cy="100965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5pt;margin-top:506.45pt;height:79.5pt;width:343.35pt;z-index:251695104;v-text-anchor:middle;mso-width-relative:page;mso-height-relative:page;" fillcolor="#4F81BD [3204]" filled="t" stroked="t" coordsize="21600,21600" o:gfxdata="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VObcgtoAAAAMAQAA&#10;DwAAAAAAAAABACAAAAAiAAAAZHJzL2Rvd25yZXYueG1sUEsBAhQAFAAAAAgAh07iQN/FSG+JAgAA&#10;EAUAAA4AAAAAAAAAAQAgAAAAKQEAAGRycy9lMm9Eb2MueG1sUEsFBgAAAAAGAAYAWQEAACQGAAAA&#10;AA==&#10;">
                <v:fill on="t" focussize="0,0"/>
                <v:stroke weight="2pt" color="#376092 [2404]" joinstyle="round"/>
                <v:imagedata o:title=""/>
                <o:lock v:ext="edit" aspectratio="f"/>
              </v:rect>
            </w:pict>
          </mc:Fallback>
        </mc:AlternateContent>
      </w:r>
      <w:r>
        <w:rPr>
          <w:sz w:val="24"/>
        </w:rPr>
        <mc:AlternateContent>
          <mc:Choice Requires="wps">
            <w:drawing>
              <wp:anchor distT="0" distB="0" distL="114300" distR="114300" simplePos="0" relativeHeight="251694080" behindDoc="0" locked="0" layoutInCell="1" allowOverlap="1">
                <wp:simplePos x="0" y="0"/>
                <wp:positionH relativeFrom="column">
                  <wp:posOffset>556260</wp:posOffset>
                </wp:positionH>
                <wp:positionV relativeFrom="paragraph">
                  <wp:posOffset>5158105</wp:posOffset>
                </wp:positionV>
                <wp:extent cx="4475480" cy="998220"/>
                <wp:effectExtent l="12700" t="12700" r="26670" b="17780"/>
                <wp:wrapNone/>
                <wp:docPr id="122" name="矩形 122"/>
                <wp:cNvGraphicFramePr/>
                <a:graphic xmlns:a="http://schemas.openxmlformats.org/drawingml/2006/main">
                  <a:graphicData uri="http://schemas.microsoft.com/office/word/2010/wordprocessingShape">
                    <wps:wsp>
                      <wps:cNvSpPr/>
                      <wps:spPr>
                        <a:xfrm>
                          <a:off x="1528445" y="6238240"/>
                          <a:ext cx="4475480" cy="99822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3.8pt;margin-top:406.15pt;height:78.6pt;width:352.4pt;z-index:251694080;v-text-anchor:middle;mso-width-relative:page;mso-height-relative:page;" fillcolor="#4F81BD [3204]" filled="t" stroked="t" coordsize="21600,21600" o:gfxdata="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PcQhY9sAAAAKAQAA&#10;DwAAAAAAAAABACAAAAAiAAAAZHJzL2Rvd25yZXYueG1sUEsBAhQAFAAAAAgAh07iQALODFqIAgAA&#10;DwUAAA4AAAAAAAAAAQAgAAAAKgEAAGRycy9lMm9Eb2MueG1sUEsFBgAAAAAGAAYAWQEAACQGAAAA&#10;AA==&#10;">
                <v:fill on="t" focussize="0,0"/>
                <v:stroke weight="2pt" color="#376092 [2404]" joinstyle="round"/>
                <v:imagedata o:title=""/>
                <o:lock v:ext="edit" aspectratio="f"/>
              </v:rect>
            </w:pict>
          </mc:Fallback>
        </mc:AlternateContent>
      </w:r>
      <w:r>
        <w:rPr>
          <w:color w:val="auto"/>
          <w:lang w:val="en-US"/>
        </w:rPr>
        <w:drawing>
          <wp:inline distT="0" distB="0" distL="114300" distR="114300">
            <wp:extent cx="5607050" cy="8091805"/>
            <wp:effectExtent l="0" t="0" r="12700" b="4445"/>
            <wp:docPr id="9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4"/>
                    <pic:cNvPicPr>
                      <a:picLocks noChangeAspect="1"/>
                    </pic:cNvPicPr>
                  </pic:nvPicPr>
                  <pic:blipFill>
                    <a:blip r:embed="rId71"/>
                    <a:stretch>
                      <a:fillRect/>
                    </a:stretch>
                  </pic:blipFill>
                  <pic:spPr>
                    <a:xfrm>
                      <a:off x="0" y="0"/>
                      <a:ext cx="5607050" cy="8091805"/>
                    </a:xfrm>
                    <a:prstGeom prst="rect">
                      <a:avLst/>
                    </a:prstGeom>
                    <a:noFill/>
                    <a:ln>
                      <a:noFill/>
                    </a:ln>
                  </pic:spPr>
                </pic:pic>
              </a:graphicData>
            </a:graphic>
          </wp:inline>
        </w:drawing>
      </w:r>
      <w:r>
        <w:rPr>
          <w:color w:val="auto"/>
          <w:lang w:val="en-US"/>
        </w:rPr>
        <w:drawing>
          <wp:inline distT="0" distB="0" distL="114300" distR="114300">
            <wp:extent cx="5607685" cy="8065770"/>
            <wp:effectExtent l="0" t="0" r="12065" b="11430"/>
            <wp:docPr id="9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5"/>
                    <pic:cNvPicPr>
                      <a:picLocks noChangeAspect="1"/>
                    </pic:cNvPicPr>
                  </pic:nvPicPr>
                  <pic:blipFill>
                    <a:blip r:embed="rId72"/>
                    <a:stretch>
                      <a:fillRect/>
                    </a:stretch>
                  </pic:blipFill>
                  <pic:spPr>
                    <a:xfrm>
                      <a:off x="0" y="0"/>
                      <a:ext cx="5607685" cy="8065770"/>
                    </a:xfrm>
                    <a:prstGeom prst="rect">
                      <a:avLst/>
                    </a:prstGeom>
                    <a:noFill/>
                    <a:ln>
                      <a:noFill/>
                    </a:ln>
                  </pic:spPr>
                </pic:pic>
              </a:graphicData>
            </a:graphic>
          </wp:inline>
        </w:drawing>
      </w:r>
      <w:r>
        <w:rPr>
          <w:sz w:val="24"/>
        </w:rPr>
        <mc:AlternateContent>
          <mc:Choice Requires="wps">
            <w:drawing>
              <wp:anchor distT="0" distB="0" distL="114300" distR="114300" simplePos="0" relativeHeight="251696128" behindDoc="0" locked="0" layoutInCell="1" allowOverlap="1">
                <wp:simplePos x="0" y="0"/>
                <wp:positionH relativeFrom="column">
                  <wp:posOffset>2701925</wp:posOffset>
                </wp:positionH>
                <wp:positionV relativeFrom="paragraph">
                  <wp:posOffset>5210810</wp:posOffset>
                </wp:positionV>
                <wp:extent cx="2214880" cy="860425"/>
                <wp:effectExtent l="12700" t="12700" r="20320" b="22225"/>
                <wp:wrapNone/>
                <wp:docPr id="124" name="矩形 124"/>
                <wp:cNvGraphicFramePr/>
                <a:graphic xmlns:a="http://schemas.openxmlformats.org/drawingml/2006/main">
                  <a:graphicData uri="http://schemas.microsoft.com/office/word/2010/wordprocessingShape">
                    <wps:wsp>
                      <wps:cNvSpPr/>
                      <wps:spPr>
                        <a:xfrm>
                          <a:off x="3674110" y="6290945"/>
                          <a:ext cx="2214880" cy="860425"/>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2.75pt;margin-top:410.3pt;height:67.75pt;width:174.4pt;z-index:251696128;v-text-anchor:middle;mso-width-relative:page;mso-height-relative:page;" fillcolor="#4F81BD [3204]" filled="t" stroked="t" coordsize="21600,21600" o:gfxdata="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Nz+uaLcAAAACwEA&#10;AA8AAAAAAAAAAQAgAAAAIgAAAGRycy9kb3ducmV2LnhtbFBLAQIUABQAAAAIAIdO4kDYreZ8iAIA&#10;AA8FAAAOAAAAAAAAAAEAIAAAACsBAABkcnMvZTJvRG9jLnhtbFBLBQYAAAAABgAGAFkBAAAlBgAA&#10;AAA=&#10;">
                <v:fill on="t" focussize="0,0"/>
                <v:stroke weight="2pt" color="#376092 [2404]" joinstyle="round"/>
                <v:imagedata o:title=""/>
                <o:lock v:ext="edit" aspectratio="f"/>
              </v:rect>
            </w:pict>
          </mc:Fallback>
        </mc:AlternateContent>
      </w:r>
      <w:r>
        <w:rPr>
          <w:color w:val="auto"/>
          <w:lang w:val="en-US"/>
        </w:rPr>
        <w:drawing>
          <wp:inline distT="0" distB="0" distL="114300" distR="114300">
            <wp:extent cx="5610860" cy="7992745"/>
            <wp:effectExtent l="0" t="0" r="8890" b="8255"/>
            <wp:docPr id="9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6"/>
                    <pic:cNvPicPr>
                      <a:picLocks noChangeAspect="1"/>
                    </pic:cNvPicPr>
                  </pic:nvPicPr>
                  <pic:blipFill>
                    <a:blip r:embed="rId73"/>
                    <a:stretch>
                      <a:fillRect/>
                    </a:stretch>
                  </pic:blipFill>
                  <pic:spPr>
                    <a:xfrm>
                      <a:off x="0" y="0"/>
                      <a:ext cx="5610860" cy="7992745"/>
                    </a:xfrm>
                    <a:prstGeom prst="rect">
                      <a:avLst/>
                    </a:prstGeom>
                    <a:noFill/>
                    <a:ln>
                      <a:noFill/>
                    </a:ln>
                  </pic:spPr>
                </pic:pic>
              </a:graphicData>
            </a:graphic>
          </wp:inline>
        </w:drawing>
      </w:r>
    </w:p>
    <w:p w14:paraId="51221073">
      <w:pPr>
        <w:pStyle w:val="2"/>
        <w:ind w:left="0"/>
        <w:rPr>
          <w:color w:val="auto"/>
        </w:rPr>
      </w:pPr>
      <w:bookmarkStart w:id="35" w:name="_Toc12357"/>
      <w:r>
        <w:rPr>
          <w:rFonts w:hint="eastAsia"/>
          <w:color w:val="auto"/>
        </w:rPr>
        <w:t>附件13 固废处置合同</w:t>
      </w:r>
      <w:bookmarkEnd w:id="35"/>
    </w:p>
    <w:p w14:paraId="22DDE1F2">
      <w:pPr>
        <w:pStyle w:val="7"/>
        <w:ind w:firstLine="0" w:firstLineChars="0"/>
        <w:rPr>
          <w:color w:val="auto"/>
          <w:lang w:val="en-US"/>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color w:val="auto"/>
          <w:lang w:val="en-US"/>
        </w:rPr>
        <w:drawing>
          <wp:inline distT="0" distB="0" distL="114300" distR="114300">
            <wp:extent cx="5609590" cy="7769860"/>
            <wp:effectExtent l="0" t="0" r="10160" b="2540"/>
            <wp:docPr id="10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7"/>
                    <pic:cNvPicPr>
                      <a:picLocks noChangeAspect="1"/>
                    </pic:cNvPicPr>
                  </pic:nvPicPr>
                  <pic:blipFill>
                    <a:blip r:embed="rId74"/>
                    <a:stretch>
                      <a:fillRect/>
                    </a:stretch>
                  </pic:blipFill>
                  <pic:spPr>
                    <a:xfrm>
                      <a:off x="0" y="0"/>
                      <a:ext cx="5609590" cy="7769860"/>
                    </a:xfrm>
                    <a:prstGeom prst="rect">
                      <a:avLst/>
                    </a:prstGeom>
                    <a:noFill/>
                    <a:ln>
                      <a:noFill/>
                    </a:ln>
                  </pic:spPr>
                </pic:pic>
              </a:graphicData>
            </a:graphic>
          </wp:inline>
        </w:drawing>
      </w:r>
      <w:r>
        <w:rPr>
          <w:sz w:val="24"/>
        </w:rPr>
        <mc:AlternateContent>
          <mc:Choice Requires="wps">
            <w:drawing>
              <wp:anchor distT="0" distB="0" distL="114300" distR="114300" simplePos="0" relativeHeight="251697152" behindDoc="0" locked="0" layoutInCell="1" allowOverlap="1">
                <wp:simplePos x="0" y="0"/>
                <wp:positionH relativeFrom="column">
                  <wp:posOffset>774065</wp:posOffset>
                </wp:positionH>
                <wp:positionV relativeFrom="paragraph">
                  <wp:posOffset>6108065</wp:posOffset>
                </wp:positionV>
                <wp:extent cx="3213100" cy="791845"/>
                <wp:effectExtent l="12700" t="12700" r="12700" b="14605"/>
                <wp:wrapNone/>
                <wp:docPr id="125" name="矩形 125"/>
                <wp:cNvGraphicFramePr/>
                <a:graphic xmlns:a="http://schemas.openxmlformats.org/drawingml/2006/main">
                  <a:graphicData uri="http://schemas.microsoft.com/office/word/2010/wordprocessingShape">
                    <wps:wsp>
                      <wps:cNvSpPr/>
                      <wps:spPr>
                        <a:xfrm>
                          <a:off x="1746250" y="7188200"/>
                          <a:ext cx="3213100" cy="791845"/>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0.95pt;margin-top:480.95pt;height:62.35pt;width:253pt;z-index:251697152;v-text-anchor:middle;mso-width-relative:page;mso-height-relative:page;" fillcolor="#4F81BD [3204]" filled="t" stroked="t" coordsize="21600,21600" o:gfxdata="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DLgXwNkAAAAMAQAADwAA&#10;AAAAAAABACAAAAAiAAAAZHJzL2Rvd25yZXYueG1sUEsBAhQAFAAAAAgAh07iQP2vm1aHAgAADwUA&#10;AA4AAAAAAAAAAQAgAAAAKAEAAGRycy9lMm9Eb2MueG1sUEsFBgAAAAAGAAYAWQEAACEGAAAAAA==&#10;">
                <v:fill on="t" focussize="0,0"/>
                <v:stroke weight="2pt" color="#376092 [2404]" joinstyle="round"/>
                <v:imagedata o:title=""/>
                <o:lock v:ext="edit" aspectratio="f"/>
              </v:rect>
            </w:pict>
          </mc:Fallback>
        </mc:AlternateContent>
      </w:r>
      <w:r>
        <w:rPr>
          <w:color w:val="auto"/>
          <w:lang w:val="en-US"/>
        </w:rPr>
        <w:drawing>
          <wp:inline distT="0" distB="0" distL="114300" distR="114300">
            <wp:extent cx="5614035" cy="7980045"/>
            <wp:effectExtent l="0" t="0" r="5715" b="1905"/>
            <wp:docPr id="10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8"/>
                    <pic:cNvPicPr>
                      <a:picLocks noChangeAspect="1"/>
                    </pic:cNvPicPr>
                  </pic:nvPicPr>
                  <pic:blipFill>
                    <a:blip r:embed="rId75"/>
                    <a:stretch>
                      <a:fillRect/>
                    </a:stretch>
                  </pic:blipFill>
                  <pic:spPr>
                    <a:xfrm>
                      <a:off x="0" y="0"/>
                      <a:ext cx="5614035" cy="7980045"/>
                    </a:xfrm>
                    <a:prstGeom prst="rect">
                      <a:avLst/>
                    </a:prstGeom>
                    <a:noFill/>
                    <a:ln>
                      <a:noFill/>
                    </a:ln>
                  </pic:spPr>
                </pic:pic>
              </a:graphicData>
            </a:graphic>
          </wp:inline>
        </w:drawing>
      </w:r>
      <w:r>
        <w:rPr>
          <w:color w:val="auto"/>
          <w:lang w:val="en-US"/>
        </w:rPr>
        <w:drawing>
          <wp:inline distT="0" distB="0" distL="114300" distR="114300">
            <wp:extent cx="5612765" cy="7828915"/>
            <wp:effectExtent l="0" t="0" r="6985" b="635"/>
            <wp:docPr id="10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9"/>
                    <pic:cNvPicPr>
                      <a:picLocks noChangeAspect="1"/>
                    </pic:cNvPicPr>
                  </pic:nvPicPr>
                  <pic:blipFill>
                    <a:blip r:embed="rId76"/>
                    <a:stretch>
                      <a:fillRect/>
                    </a:stretch>
                  </pic:blipFill>
                  <pic:spPr>
                    <a:xfrm>
                      <a:off x="0" y="0"/>
                      <a:ext cx="5612765" cy="7828915"/>
                    </a:xfrm>
                    <a:prstGeom prst="rect">
                      <a:avLst/>
                    </a:prstGeom>
                    <a:noFill/>
                    <a:ln>
                      <a:noFill/>
                    </a:ln>
                  </pic:spPr>
                </pic:pic>
              </a:graphicData>
            </a:graphic>
          </wp:inline>
        </w:drawing>
      </w:r>
      <w:r>
        <w:rPr>
          <w:sz w:val="24"/>
        </w:rPr>
        <mc:AlternateContent>
          <mc:Choice Requires="wps">
            <w:drawing>
              <wp:anchor distT="0" distB="0" distL="114300" distR="114300" simplePos="0" relativeHeight="251698176" behindDoc="0" locked="0" layoutInCell="1" allowOverlap="1">
                <wp:simplePos x="0" y="0"/>
                <wp:positionH relativeFrom="column">
                  <wp:posOffset>1142365</wp:posOffset>
                </wp:positionH>
                <wp:positionV relativeFrom="paragraph">
                  <wp:posOffset>4504055</wp:posOffset>
                </wp:positionV>
                <wp:extent cx="3866515" cy="332740"/>
                <wp:effectExtent l="12700" t="12700" r="26035" b="16510"/>
                <wp:wrapNone/>
                <wp:docPr id="126" name="矩形 126"/>
                <wp:cNvGraphicFramePr/>
                <a:graphic xmlns:a="http://schemas.openxmlformats.org/drawingml/2006/main">
                  <a:graphicData uri="http://schemas.microsoft.com/office/word/2010/wordprocessingShape">
                    <wps:wsp>
                      <wps:cNvSpPr/>
                      <wps:spPr>
                        <a:xfrm>
                          <a:off x="4420235" y="5584190"/>
                          <a:ext cx="3866515" cy="33274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9.95pt;margin-top:354.65pt;height:26.2pt;width:304.45pt;z-index:251698176;v-text-anchor:middle;mso-width-relative:page;mso-height-relative:page;" fillcolor="#4F81BD [3204]" filled="t" stroked="t" coordsize="21600,21600" o:gfxdata="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zHOXJ9kAAAALAQAA&#10;DwAAAAAAAAABACAAAAAiAAAAZHJzL2Rvd25yZXYueG1sUEsBAhQAFAAAAAgAh07iQGZtftmKAgAA&#10;DwUAAA4AAAAAAAAAAQAgAAAAKAEAAGRycy9lMm9Eb2MueG1sUEsFBgAAAAAGAAYAWQEAACQGAAAA&#10;AA==&#10;">
                <v:fill on="t" focussize="0,0"/>
                <v:stroke weight="2pt" color="#376092 [2404]" joinstyle="round"/>
                <v:imagedata o:title=""/>
                <o:lock v:ext="edit" aspectratio="f"/>
              </v:rect>
            </w:pict>
          </mc:Fallback>
        </mc:AlternateContent>
      </w:r>
      <w:r>
        <w:rPr>
          <w:color w:val="auto"/>
          <w:lang w:val="en-US"/>
        </w:rPr>
        <w:drawing>
          <wp:inline distT="0" distB="0" distL="114300" distR="114300">
            <wp:extent cx="5607685" cy="8032750"/>
            <wp:effectExtent l="0" t="0" r="12065" b="6350"/>
            <wp:docPr id="10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0"/>
                    <pic:cNvPicPr>
                      <a:picLocks noChangeAspect="1"/>
                    </pic:cNvPicPr>
                  </pic:nvPicPr>
                  <pic:blipFill>
                    <a:blip r:embed="rId77"/>
                    <a:stretch>
                      <a:fillRect/>
                    </a:stretch>
                  </pic:blipFill>
                  <pic:spPr>
                    <a:xfrm>
                      <a:off x="0" y="0"/>
                      <a:ext cx="5607685" cy="8032750"/>
                    </a:xfrm>
                    <a:prstGeom prst="rect">
                      <a:avLst/>
                    </a:prstGeom>
                    <a:noFill/>
                    <a:ln>
                      <a:noFill/>
                    </a:ln>
                  </pic:spPr>
                </pic:pic>
              </a:graphicData>
            </a:graphic>
          </wp:inline>
        </w:drawing>
      </w:r>
    </w:p>
    <w:p w14:paraId="3531D669">
      <w:pPr>
        <w:pStyle w:val="2"/>
        <w:ind w:left="0"/>
        <w:rPr>
          <w:color w:val="auto"/>
        </w:rPr>
      </w:pPr>
      <w:bookmarkStart w:id="36" w:name="_Toc19408"/>
      <w:r>
        <w:rPr>
          <w:rFonts w:hint="eastAsia"/>
          <w:color w:val="auto"/>
        </w:rPr>
        <w:t>附件14 责令整改文件</w:t>
      </w:r>
      <w:bookmarkEnd w:id="36"/>
    </w:p>
    <w:p w14:paraId="53FB3749">
      <w:pPr>
        <w:pStyle w:val="7"/>
        <w:ind w:firstLine="0" w:firstLineChars="0"/>
        <w:rPr>
          <w:color w:val="auto"/>
          <w:lang w:val="en-US"/>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color w:val="auto"/>
          <w:lang w:val="en-US"/>
        </w:rPr>
        <w:drawing>
          <wp:inline distT="0" distB="0" distL="114300" distR="114300">
            <wp:extent cx="5608320" cy="7927975"/>
            <wp:effectExtent l="0" t="0" r="11430" b="158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8"/>
                    <a:stretch>
                      <a:fillRect/>
                    </a:stretch>
                  </pic:blipFill>
                  <pic:spPr>
                    <a:xfrm>
                      <a:off x="0" y="0"/>
                      <a:ext cx="5608320" cy="7927975"/>
                    </a:xfrm>
                    <a:prstGeom prst="rect">
                      <a:avLst/>
                    </a:prstGeom>
                    <a:noFill/>
                    <a:ln>
                      <a:noFill/>
                    </a:ln>
                  </pic:spPr>
                </pic:pic>
              </a:graphicData>
            </a:graphic>
          </wp:inline>
        </w:drawing>
      </w:r>
      <w:r>
        <w:rPr>
          <w:color w:val="auto"/>
          <w:lang w:val="en-US"/>
        </w:rPr>
        <w:drawing>
          <wp:inline distT="0" distB="0" distL="114300" distR="114300">
            <wp:extent cx="5608320" cy="7927975"/>
            <wp:effectExtent l="0" t="0" r="11430" b="158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9"/>
                    <a:stretch>
                      <a:fillRect/>
                    </a:stretch>
                  </pic:blipFill>
                  <pic:spPr>
                    <a:xfrm>
                      <a:off x="0" y="0"/>
                      <a:ext cx="5608320" cy="7927975"/>
                    </a:xfrm>
                    <a:prstGeom prst="rect">
                      <a:avLst/>
                    </a:prstGeom>
                    <a:noFill/>
                    <a:ln>
                      <a:noFill/>
                    </a:ln>
                  </pic:spPr>
                </pic:pic>
              </a:graphicData>
            </a:graphic>
          </wp:inline>
        </w:drawing>
      </w:r>
      <w:r>
        <w:rPr>
          <w:color w:val="auto"/>
          <w:lang w:val="en-US"/>
        </w:rPr>
        <w:drawing>
          <wp:inline distT="0" distB="0" distL="114300" distR="114300">
            <wp:extent cx="5608320" cy="7927975"/>
            <wp:effectExtent l="0" t="0" r="11430" b="1587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80"/>
                    <a:stretch>
                      <a:fillRect/>
                    </a:stretch>
                  </pic:blipFill>
                  <pic:spPr>
                    <a:xfrm>
                      <a:off x="0" y="0"/>
                      <a:ext cx="5608320" cy="7927975"/>
                    </a:xfrm>
                    <a:prstGeom prst="rect">
                      <a:avLst/>
                    </a:prstGeom>
                    <a:noFill/>
                    <a:ln>
                      <a:noFill/>
                    </a:ln>
                  </pic:spPr>
                </pic:pic>
              </a:graphicData>
            </a:graphic>
          </wp:inline>
        </w:drawing>
      </w:r>
      <w:r>
        <w:rPr>
          <w:color w:val="auto"/>
          <w:lang w:val="en-US"/>
        </w:rPr>
        <w:drawing>
          <wp:inline distT="0" distB="0" distL="114300" distR="114300">
            <wp:extent cx="5608320" cy="7927975"/>
            <wp:effectExtent l="0" t="0" r="11430" b="1587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81"/>
                    <a:stretch>
                      <a:fillRect/>
                    </a:stretch>
                  </pic:blipFill>
                  <pic:spPr>
                    <a:xfrm>
                      <a:off x="0" y="0"/>
                      <a:ext cx="5608320" cy="7927975"/>
                    </a:xfrm>
                    <a:prstGeom prst="rect">
                      <a:avLst/>
                    </a:prstGeom>
                    <a:noFill/>
                    <a:ln>
                      <a:noFill/>
                    </a:ln>
                  </pic:spPr>
                </pic:pic>
              </a:graphicData>
            </a:graphic>
          </wp:inline>
        </w:drawing>
      </w:r>
    </w:p>
    <w:p w14:paraId="4F8A8D65">
      <w:pPr>
        <w:pStyle w:val="2"/>
        <w:bidi w:val="0"/>
        <w:ind w:left="0" w:leftChars="0" w:firstLine="0" w:firstLineChars="0"/>
        <w:rPr>
          <w:rFonts w:hint="eastAsia"/>
          <w:color w:val="auto"/>
          <w:lang w:val="en-US" w:eastAsia="zh-CN"/>
        </w:rPr>
      </w:pPr>
      <w:bookmarkStart w:id="37" w:name="_Toc22263"/>
      <w:r>
        <w:rPr>
          <w:rFonts w:hint="eastAsia"/>
          <w:color w:val="auto"/>
          <w:lang w:val="en-US" w:eastAsia="zh-CN"/>
        </w:rPr>
        <w:t>附件15 柳州市生态环境局关于印发《柳州市柳江区新兴工业园产业发展规划（2020-2025年）—新兴工业集中区环境影响报告书》审查意见的函</w:t>
      </w:r>
      <w:bookmarkEnd w:id="37"/>
    </w:p>
    <w:p w14:paraId="05B1225F">
      <w:pPr>
        <w:rPr>
          <w:rFonts w:hint="default"/>
          <w:lang w:val="en-US" w:eastAsia="zh-CN"/>
        </w:rPr>
      </w:pPr>
      <w:r>
        <w:rPr>
          <w:rFonts w:hint="eastAsia"/>
          <w:color w:val="auto"/>
          <w:lang w:val="en-US" w:eastAsia="zh-CN"/>
        </w:rPr>
        <w:t>***</w:t>
      </w:r>
      <w:bookmarkStart w:id="38" w:name="_GoBack"/>
      <w:bookmarkEnd w:id="38"/>
    </w:p>
    <w:p w14:paraId="2FBF0049">
      <w:pPr>
        <w:ind w:left="0" w:leftChars="0" w:firstLine="0" w:firstLineChars="0"/>
        <w:jc w:val="center"/>
        <w:rPr>
          <w:rFonts w:hint="default"/>
          <w:color w:val="auto"/>
          <w:lang w:val="en-US" w:eastAsia="zh-CN"/>
        </w:rPr>
      </w:pPr>
    </w:p>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decorative"/>
    <w:pitch w:val="default"/>
    <w:sig w:usb0="E0002EFF" w:usb1="C000785B" w:usb2="00000009" w:usb3="00000000" w:csb0="400001FF" w:csb1="FFFF0000"/>
  </w:font>
  <w:font w:name="宋体">
    <w:panose1 w:val="02010600030101010101"/>
    <w:charset w:val="7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C73A11-BD3E-4649-9BA9-EF139652941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2" w:fontKey="{70A6FC95-976F-4902-9230-148B9DBEBE7E}"/>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Wingdings 2">
    <w:altName w:val="Wingdings"/>
    <w:panose1 w:val="05020102010507070707"/>
    <w:charset w:val="02"/>
    <w:family w:val="roman"/>
    <w:pitch w:val="default"/>
    <w:sig w:usb0="00000000" w:usb1="00000000" w:usb2="00000000" w:usb3="00000000" w:csb0="80000000" w:csb1="00000000"/>
    <w:embedRegular r:id="rId3" w:fontKey="{0F23BF6C-AEE1-4B67-A55E-DC0DEC1CC2CC}"/>
  </w:font>
  <w:font w:name="Cambria Math">
    <w:panose1 w:val="02040503050406030204"/>
    <w:charset w:val="00"/>
    <w:family w:val="roman"/>
    <w:pitch w:val="default"/>
    <w:sig w:usb0="E00006FF" w:usb1="420024FF" w:usb2="02000000" w:usb3="00000000" w:csb0="2000019F" w:csb1="00000000"/>
    <w:embedRegular r:id="rId4" w:fontKey="{252ACBA5-6344-4A17-BE1D-A30DB3A7468B}"/>
  </w:font>
  <w:font w:name="方正小标宋_GBK">
    <w:panose1 w:val="02000000000000000000"/>
    <w:charset w:val="86"/>
    <w:family w:val="auto"/>
    <w:pitch w:val="default"/>
    <w:sig w:usb0="A00002BF" w:usb1="38CF7CFA" w:usb2="00082016" w:usb3="00000000" w:csb0="00040001" w:csb1="00000000"/>
    <w:embedRegular r:id="rId5" w:fontKey="{F71C479B-4ABA-41A3-B026-43495CD35984}"/>
  </w:font>
  <w:font w:name="微软雅黑">
    <w:panose1 w:val="020B0503020204020204"/>
    <w:charset w:val="86"/>
    <w:family w:val="auto"/>
    <w:pitch w:val="default"/>
    <w:sig w:usb0="80000287" w:usb1="2ACF3C50" w:usb2="00000016" w:usb3="00000000" w:csb0="0004001F"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E3FC4">
    <w:pPr>
      <w:pStyle w:val="1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49E61">
    <w:pPr>
      <w:pStyle w:val="10"/>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606FDA">
                          <w:pPr>
                            <w:pStyle w:val="10"/>
                            <w:ind w:firstLine="360"/>
                          </w:pPr>
                          <w:r>
                            <w:fldChar w:fldCharType="begin"/>
                          </w:r>
                          <w:r>
                            <w:instrText xml:space="preserve"> PAGE  \* MERGEFORMAT </w:instrText>
                          </w:r>
                          <w:r>
                            <w:fldChar w:fldCharType="separate"/>
                          </w:r>
                          <w:r>
                            <w:t>5</w:t>
                          </w:r>
                          <w:r>
                            <w:fldChar w:fldCharType="end"/>
                          </w:r>
                        </w:p>
                      </w:txbxContent>
                    </wps:txbx>
                    <wps:bodyPr vert="horz" wrap="none" lIns="0" tIns="0" rIns="0" bIns="0" anchor="t" anchorCtr="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P8unwXaAQAAtQMAAA4AAAAAAAAAAQAg&#10;AAAAHgEAAGRycy9lMm9Eb2MueG1sUEsFBgAAAAAGAAYAWQEAAGoFAAAAAA==&#10;">
              <v:fill on="f" focussize="0,0"/>
              <v:stroke on="f"/>
              <v:imagedata o:title=""/>
              <o:lock v:ext="edit" aspectratio="f"/>
              <v:textbox inset="0mm,0mm,0mm,0mm" style="mso-fit-shape-to-text:t;">
                <w:txbxContent>
                  <w:p w14:paraId="27606FDA">
                    <w:pPr>
                      <w:pStyle w:val="10"/>
                      <w:ind w:firstLine="360"/>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623D6">
    <w:pPr>
      <w:pStyle w:val="10"/>
      <w:ind w:right="360"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2DCC62">
                          <w:pPr>
                            <w:pStyle w:val="10"/>
                            <w:ind w:firstLine="360"/>
                          </w:pPr>
                          <w:r>
                            <w:fldChar w:fldCharType="begin"/>
                          </w:r>
                          <w:r>
                            <w:instrText xml:space="preserve"> PAGE  \* MERGEFORMAT </w:instrText>
                          </w:r>
                          <w:r>
                            <w:fldChar w:fldCharType="separate"/>
                          </w:r>
                          <w:r>
                            <w:t>9</w:t>
                          </w:r>
                          <w:r>
                            <w:fldChar w:fldCharType="end"/>
                          </w:r>
                        </w:p>
                      </w:txbxContent>
                    </wps:txbx>
                    <wps:bodyPr vert="horz" wrap="none" lIns="0" tIns="0" rIns="0" bIns="0" anchor="t" anchorCtr="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OTWL3jaAQAAtQMAAA4AAAAAAAAAAQAg&#10;AAAAHgEAAGRycy9lMm9Eb2MueG1sUEsFBgAAAAAGAAYAWQEAAGoFAAAAAA==&#10;">
              <v:fill on="f" focussize="0,0"/>
              <v:stroke on="f"/>
              <v:imagedata o:title=""/>
              <o:lock v:ext="edit" aspectratio="f"/>
              <v:textbox inset="0mm,0mm,0mm,0mm" style="mso-fit-shape-to-text:t;">
                <w:txbxContent>
                  <w:p w14:paraId="292DCC62">
                    <w:pPr>
                      <w:pStyle w:val="10"/>
                      <w:ind w:firstLine="360"/>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0C18E">
    <w:pPr>
      <w:pStyle w:val="10"/>
      <w:ind w:right="360"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0B9CF9">
                          <w:pPr>
                            <w:pStyle w:val="10"/>
                            <w:ind w:firstLine="360"/>
                          </w:pPr>
                          <w:r>
                            <w:fldChar w:fldCharType="begin"/>
                          </w:r>
                          <w:r>
                            <w:instrText xml:space="preserve"> PAGE  \* MERGEFORMAT </w:instrText>
                          </w:r>
                          <w:r>
                            <w:fldChar w:fldCharType="separate"/>
                          </w:r>
                          <w:r>
                            <w:t>10</w:t>
                          </w:r>
                          <w:r>
                            <w:fldChar w:fldCharType="end"/>
                          </w:r>
                        </w:p>
                      </w:txbxContent>
                    </wps:txbx>
                    <wps:bodyPr vert="horz" wrap="none" lIns="0" tIns="0" rIns="0" bIns="0" anchor="t" anchorCtr="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HgDpYjaAQAAtQMAAA4AAAAAAAAAAQAg&#10;AAAAHgEAAGRycy9lMm9Eb2MueG1sUEsFBgAAAAAGAAYAWQEAAGoFAAAAAA==&#10;">
              <v:fill on="f" focussize="0,0"/>
              <v:stroke on="f"/>
              <v:imagedata o:title=""/>
              <o:lock v:ext="edit" aspectratio="f"/>
              <v:textbox inset="0mm,0mm,0mm,0mm" style="mso-fit-shape-to-text:t;">
                <w:txbxContent>
                  <w:p w14:paraId="620B9CF9">
                    <w:pPr>
                      <w:pStyle w:val="10"/>
                      <w:ind w:firstLine="360"/>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2C930">
    <w:pPr>
      <w:pStyle w:val="11"/>
      <w:pBdr>
        <w:bottom w:val="none" w:color="auto" w:sz="0" w:space="1"/>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5ZmQ4OGI1NTI0MjJjYjhmOTRmOGFiMmM4NWY3YmEifQ=="/>
  </w:docVars>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10A70"/>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1ED3"/>
    <w:rsid w:val="0023280E"/>
    <w:rsid w:val="002377D1"/>
    <w:rsid w:val="002506BC"/>
    <w:rsid w:val="00254345"/>
    <w:rsid w:val="00264557"/>
    <w:rsid w:val="002805AB"/>
    <w:rsid w:val="00284204"/>
    <w:rsid w:val="00291773"/>
    <w:rsid w:val="002928B0"/>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100F"/>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58AC"/>
    <w:rsid w:val="0048661E"/>
    <w:rsid w:val="00494670"/>
    <w:rsid w:val="004A3823"/>
    <w:rsid w:val="004C4FA1"/>
    <w:rsid w:val="004D784D"/>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570D1"/>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458F4"/>
    <w:rsid w:val="0085134A"/>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0508"/>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034E4"/>
    <w:rsid w:val="00B1295A"/>
    <w:rsid w:val="00B138A8"/>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00A53"/>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20A4"/>
    <w:rsid w:val="00CF36BE"/>
    <w:rsid w:val="00CF6000"/>
    <w:rsid w:val="00D003F3"/>
    <w:rsid w:val="00D0364F"/>
    <w:rsid w:val="00D06834"/>
    <w:rsid w:val="00D308ED"/>
    <w:rsid w:val="00D36D86"/>
    <w:rsid w:val="00D428AA"/>
    <w:rsid w:val="00D50A34"/>
    <w:rsid w:val="00D53EFA"/>
    <w:rsid w:val="00D72A24"/>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B6E8D"/>
    <w:rsid w:val="00ED0639"/>
    <w:rsid w:val="00EF4755"/>
    <w:rsid w:val="00EF7135"/>
    <w:rsid w:val="00F027DB"/>
    <w:rsid w:val="00F14A7A"/>
    <w:rsid w:val="00F22985"/>
    <w:rsid w:val="00F3383E"/>
    <w:rsid w:val="00F465A7"/>
    <w:rsid w:val="00F50B7C"/>
    <w:rsid w:val="00F550E6"/>
    <w:rsid w:val="00F67AC1"/>
    <w:rsid w:val="00F74345"/>
    <w:rsid w:val="00F80A0A"/>
    <w:rsid w:val="00F82B19"/>
    <w:rsid w:val="00F9212D"/>
    <w:rsid w:val="00F965DA"/>
    <w:rsid w:val="00FA406A"/>
    <w:rsid w:val="00FB503A"/>
    <w:rsid w:val="00FB516C"/>
    <w:rsid w:val="00FD0236"/>
    <w:rsid w:val="00FD18F4"/>
    <w:rsid w:val="00FD54DB"/>
    <w:rsid w:val="00FD619F"/>
    <w:rsid w:val="01290F7E"/>
    <w:rsid w:val="012B5BC5"/>
    <w:rsid w:val="015D1E09"/>
    <w:rsid w:val="02697903"/>
    <w:rsid w:val="02C17D2E"/>
    <w:rsid w:val="02F96569"/>
    <w:rsid w:val="03327ECA"/>
    <w:rsid w:val="03EA7B21"/>
    <w:rsid w:val="04524ADA"/>
    <w:rsid w:val="04B8451C"/>
    <w:rsid w:val="04C00A65"/>
    <w:rsid w:val="05F83EAE"/>
    <w:rsid w:val="063E7D85"/>
    <w:rsid w:val="066A05F3"/>
    <w:rsid w:val="07293586"/>
    <w:rsid w:val="07295285"/>
    <w:rsid w:val="074B4D0D"/>
    <w:rsid w:val="07636392"/>
    <w:rsid w:val="07770C56"/>
    <w:rsid w:val="090D25F9"/>
    <w:rsid w:val="092217DD"/>
    <w:rsid w:val="093A7294"/>
    <w:rsid w:val="09451F87"/>
    <w:rsid w:val="095A3DD5"/>
    <w:rsid w:val="0A263993"/>
    <w:rsid w:val="0A2D3AC2"/>
    <w:rsid w:val="0AA755DF"/>
    <w:rsid w:val="0B120D44"/>
    <w:rsid w:val="0BD27BF6"/>
    <w:rsid w:val="0BE73A64"/>
    <w:rsid w:val="0C096542"/>
    <w:rsid w:val="0C18701D"/>
    <w:rsid w:val="0C3B3C7D"/>
    <w:rsid w:val="0C417212"/>
    <w:rsid w:val="0C476893"/>
    <w:rsid w:val="0C5837CD"/>
    <w:rsid w:val="0CAB2EAE"/>
    <w:rsid w:val="0CC27FAD"/>
    <w:rsid w:val="0D621C7D"/>
    <w:rsid w:val="0D6369FA"/>
    <w:rsid w:val="0E4F1A2E"/>
    <w:rsid w:val="0E5060C7"/>
    <w:rsid w:val="0E73034D"/>
    <w:rsid w:val="0EE17B31"/>
    <w:rsid w:val="0F13775A"/>
    <w:rsid w:val="0F5F45FE"/>
    <w:rsid w:val="0F9A112B"/>
    <w:rsid w:val="0FB45EC8"/>
    <w:rsid w:val="0FC86C0E"/>
    <w:rsid w:val="10090303"/>
    <w:rsid w:val="10341ABC"/>
    <w:rsid w:val="104067B0"/>
    <w:rsid w:val="106D2F64"/>
    <w:rsid w:val="10B63710"/>
    <w:rsid w:val="10F10820"/>
    <w:rsid w:val="111C2F7A"/>
    <w:rsid w:val="11665CA1"/>
    <w:rsid w:val="13951726"/>
    <w:rsid w:val="13B93B6C"/>
    <w:rsid w:val="14396509"/>
    <w:rsid w:val="14DD2C3C"/>
    <w:rsid w:val="16087E1D"/>
    <w:rsid w:val="17701D14"/>
    <w:rsid w:val="17735226"/>
    <w:rsid w:val="182203FF"/>
    <w:rsid w:val="189F624C"/>
    <w:rsid w:val="19377C8F"/>
    <w:rsid w:val="1946294B"/>
    <w:rsid w:val="1A1C66C0"/>
    <w:rsid w:val="1A42393B"/>
    <w:rsid w:val="1AAD45DE"/>
    <w:rsid w:val="1B046F80"/>
    <w:rsid w:val="1B294A10"/>
    <w:rsid w:val="1B3267B5"/>
    <w:rsid w:val="1B40161D"/>
    <w:rsid w:val="1B441859"/>
    <w:rsid w:val="1B6606B1"/>
    <w:rsid w:val="1B7927E1"/>
    <w:rsid w:val="1BEF31F3"/>
    <w:rsid w:val="1C4A412D"/>
    <w:rsid w:val="1C526663"/>
    <w:rsid w:val="1C5E7925"/>
    <w:rsid w:val="1C817920"/>
    <w:rsid w:val="1CFD070F"/>
    <w:rsid w:val="1D472A99"/>
    <w:rsid w:val="1D5F6196"/>
    <w:rsid w:val="1D6132A5"/>
    <w:rsid w:val="1D871E84"/>
    <w:rsid w:val="1D8E56D5"/>
    <w:rsid w:val="1E7159FF"/>
    <w:rsid w:val="1E7A43DA"/>
    <w:rsid w:val="1F150382"/>
    <w:rsid w:val="1FE7539E"/>
    <w:rsid w:val="20671BE0"/>
    <w:rsid w:val="20963CB8"/>
    <w:rsid w:val="20A81A1B"/>
    <w:rsid w:val="20B07FB6"/>
    <w:rsid w:val="20B646FB"/>
    <w:rsid w:val="213B74B1"/>
    <w:rsid w:val="215A2310"/>
    <w:rsid w:val="21DE318A"/>
    <w:rsid w:val="21EF5B80"/>
    <w:rsid w:val="22576990"/>
    <w:rsid w:val="22F47480"/>
    <w:rsid w:val="232C54A8"/>
    <w:rsid w:val="23DE1C48"/>
    <w:rsid w:val="240210CD"/>
    <w:rsid w:val="2478471F"/>
    <w:rsid w:val="24AB5F13"/>
    <w:rsid w:val="24BF09F7"/>
    <w:rsid w:val="24E077C8"/>
    <w:rsid w:val="252D53FE"/>
    <w:rsid w:val="25EC2D81"/>
    <w:rsid w:val="277057A2"/>
    <w:rsid w:val="28007535"/>
    <w:rsid w:val="286548D4"/>
    <w:rsid w:val="29206EB8"/>
    <w:rsid w:val="29595666"/>
    <w:rsid w:val="29874881"/>
    <w:rsid w:val="29A152B7"/>
    <w:rsid w:val="29D06A9B"/>
    <w:rsid w:val="29E325E0"/>
    <w:rsid w:val="2A452503"/>
    <w:rsid w:val="2B003E3B"/>
    <w:rsid w:val="2BA936A8"/>
    <w:rsid w:val="2C315A5A"/>
    <w:rsid w:val="2C4B1C25"/>
    <w:rsid w:val="2C547DC9"/>
    <w:rsid w:val="2D3C12FC"/>
    <w:rsid w:val="2D9E56F5"/>
    <w:rsid w:val="2E667F96"/>
    <w:rsid w:val="2E8226AB"/>
    <w:rsid w:val="2FD065E6"/>
    <w:rsid w:val="2FD96870"/>
    <w:rsid w:val="30580BC9"/>
    <w:rsid w:val="30C2090D"/>
    <w:rsid w:val="311E2ED7"/>
    <w:rsid w:val="315619EE"/>
    <w:rsid w:val="315C449C"/>
    <w:rsid w:val="31B82709"/>
    <w:rsid w:val="31D05482"/>
    <w:rsid w:val="31D60AC4"/>
    <w:rsid w:val="32400B34"/>
    <w:rsid w:val="32562ADC"/>
    <w:rsid w:val="32762BAE"/>
    <w:rsid w:val="329E6876"/>
    <w:rsid w:val="333015F2"/>
    <w:rsid w:val="334B6320"/>
    <w:rsid w:val="33D934D4"/>
    <w:rsid w:val="33FE2F6A"/>
    <w:rsid w:val="340E07E5"/>
    <w:rsid w:val="34235BF7"/>
    <w:rsid w:val="34CB77AD"/>
    <w:rsid w:val="35146AAD"/>
    <w:rsid w:val="358C5FA8"/>
    <w:rsid w:val="35C15DF1"/>
    <w:rsid w:val="35F406D0"/>
    <w:rsid w:val="36074A7F"/>
    <w:rsid w:val="36923549"/>
    <w:rsid w:val="36B75FBF"/>
    <w:rsid w:val="36BD0C45"/>
    <w:rsid w:val="37E00298"/>
    <w:rsid w:val="38B302F9"/>
    <w:rsid w:val="38F12CD3"/>
    <w:rsid w:val="38F94775"/>
    <w:rsid w:val="392971ED"/>
    <w:rsid w:val="39325651"/>
    <w:rsid w:val="3A872856"/>
    <w:rsid w:val="3B017BB6"/>
    <w:rsid w:val="3B3763D1"/>
    <w:rsid w:val="3C2F6E1E"/>
    <w:rsid w:val="3C4F64BA"/>
    <w:rsid w:val="3C654D26"/>
    <w:rsid w:val="3CDA245A"/>
    <w:rsid w:val="3D1E06B7"/>
    <w:rsid w:val="3EDA0523"/>
    <w:rsid w:val="407A6407"/>
    <w:rsid w:val="40E312F7"/>
    <w:rsid w:val="4200449D"/>
    <w:rsid w:val="423A3BCC"/>
    <w:rsid w:val="424E57D2"/>
    <w:rsid w:val="42B26C49"/>
    <w:rsid w:val="42D57886"/>
    <w:rsid w:val="433A6FE6"/>
    <w:rsid w:val="43480868"/>
    <w:rsid w:val="4350713C"/>
    <w:rsid w:val="436653E0"/>
    <w:rsid w:val="439E3E34"/>
    <w:rsid w:val="43C4431A"/>
    <w:rsid w:val="44B951CC"/>
    <w:rsid w:val="44CD14E0"/>
    <w:rsid w:val="44F20B0B"/>
    <w:rsid w:val="452E5F4C"/>
    <w:rsid w:val="45612018"/>
    <w:rsid w:val="45686AD4"/>
    <w:rsid w:val="458946E9"/>
    <w:rsid w:val="45A47C0E"/>
    <w:rsid w:val="46577FD6"/>
    <w:rsid w:val="469F791E"/>
    <w:rsid w:val="46D955A7"/>
    <w:rsid w:val="47133957"/>
    <w:rsid w:val="47482B3B"/>
    <w:rsid w:val="47A07E0C"/>
    <w:rsid w:val="48204CD3"/>
    <w:rsid w:val="484C1DAE"/>
    <w:rsid w:val="4870272E"/>
    <w:rsid w:val="49DC7715"/>
    <w:rsid w:val="4A023139"/>
    <w:rsid w:val="4A323B2F"/>
    <w:rsid w:val="4A7B576F"/>
    <w:rsid w:val="4AD12E5A"/>
    <w:rsid w:val="4AF561A9"/>
    <w:rsid w:val="4C084E57"/>
    <w:rsid w:val="4C4A0649"/>
    <w:rsid w:val="4C7E5ECA"/>
    <w:rsid w:val="4C876AA5"/>
    <w:rsid w:val="4D0E00FB"/>
    <w:rsid w:val="4D176606"/>
    <w:rsid w:val="4DEC4FB0"/>
    <w:rsid w:val="4E075D8A"/>
    <w:rsid w:val="4EC00FAD"/>
    <w:rsid w:val="4EE5336B"/>
    <w:rsid w:val="4F9843DC"/>
    <w:rsid w:val="4FB7794D"/>
    <w:rsid w:val="4FC62A8C"/>
    <w:rsid w:val="4FE20F0D"/>
    <w:rsid w:val="4FE51552"/>
    <w:rsid w:val="50371D47"/>
    <w:rsid w:val="50504C4B"/>
    <w:rsid w:val="509C6E7C"/>
    <w:rsid w:val="5162104E"/>
    <w:rsid w:val="53532353"/>
    <w:rsid w:val="53A039CC"/>
    <w:rsid w:val="53A1505A"/>
    <w:rsid w:val="54063E08"/>
    <w:rsid w:val="543437E8"/>
    <w:rsid w:val="54EE27F7"/>
    <w:rsid w:val="54F73313"/>
    <w:rsid w:val="54F80955"/>
    <w:rsid w:val="551F3EED"/>
    <w:rsid w:val="555170A7"/>
    <w:rsid w:val="5587536D"/>
    <w:rsid w:val="55966F7E"/>
    <w:rsid w:val="559B174B"/>
    <w:rsid w:val="55BC541F"/>
    <w:rsid w:val="55CE0CF4"/>
    <w:rsid w:val="56B22A9C"/>
    <w:rsid w:val="575C4EF3"/>
    <w:rsid w:val="57696E51"/>
    <w:rsid w:val="57B72A76"/>
    <w:rsid w:val="57C3426C"/>
    <w:rsid w:val="57CE1F93"/>
    <w:rsid w:val="5867225C"/>
    <w:rsid w:val="588743D1"/>
    <w:rsid w:val="5887701A"/>
    <w:rsid w:val="588840E5"/>
    <w:rsid w:val="595653E6"/>
    <w:rsid w:val="59C0439F"/>
    <w:rsid w:val="59C05F67"/>
    <w:rsid w:val="59EF21F7"/>
    <w:rsid w:val="5A405EA0"/>
    <w:rsid w:val="5AA77A3B"/>
    <w:rsid w:val="5ABE2233"/>
    <w:rsid w:val="5BDF5D95"/>
    <w:rsid w:val="5BFE7528"/>
    <w:rsid w:val="5D267DAB"/>
    <w:rsid w:val="5E2467F1"/>
    <w:rsid w:val="5F1A2B43"/>
    <w:rsid w:val="5FB837BB"/>
    <w:rsid w:val="60CC405A"/>
    <w:rsid w:val="615069DB"/>
    <w:rsid w:val="61E215D8"/>
    <w:rsid w:val="621B3775"/>
    <w:rsid w:val="62364782"/>
    <w:rsid w:val="62762AE1"/>
    <w:rsid w:val="6394356A"/>
    <w:rsid w:val="63C61B2C"/>
    <w:rsid w:val="63D40BE9"/>
    <w:rsid w:val="64102431"/>
    <w:rsid w:val="641E3EAE"/>
    <w:rsid w:val="64A5243A"/>
    <w:rsid w:val="64D2638E"/>
    <w:rsid w:val="64D678D3"/>
    <w:rsid w:val="64F531DE"/>
    <w:rsid w:val="65373578"/>
    <w:rsid w:val="66677C0F"/>
    <w:rsid w:val="671F124A"/>
    <w:rsid w:val="677A33C6"/>
    <w:rsid w:val="681F6961"/>
    <w:rsid w:val="68610A2F"/>
    <w:rsid w:val="68805514"/>
    <w:rsid w:val="68D70401"/>
    <w:rsid w:val="69316E2F"/>
    <w:rsid w:val="694E2071"/>
    <w:rsid w:val="69766163"/>
    <w:rsid w:val="697A3B33"/>
    <w:rsid w:val="69D44760"/>
    <w:rsid w:val="69E9497D"/>
    <w:rsid w:val="6A520EC7"/>
    <w:rsid w:val="6AF87E20"/>
    <w:rsid w:val="6B0B669A"/>
    <w:rsid w:val="6B322639"/>
    <w:rsid w:val="6C636C38"/>
    <w:rsid w:val="6D910891"/>
    <w:rsid w:val="6DB34098"/>
    <w:rsid w:val="6DB545B6"/>
    <w:rsid w:val="6DBF250E"/>
    <w:rsid w:val="6DE02FB4"/>
    <w:rsid w:val="6E514CED"/>
    <w:rsid w:val="6EB563D5"/>
    <w:rsid w:val="6ED92677"/>
    <w:rsid w:val="6F225983"/>
    <w:rsid w:val="6FFC5590"/>
    <w:rsid w:val="706D1DD0"/>
    <w:rsid w:val="70856B87"/>
    <w:rsid w:val="70D527EE"/>
    <w:rsid w:val="70E5048C"/>
    <w:rsid w:val="715B5300"/>
    <w:rsid w:val="71D27F8A"/>
    <w:rsid w:val="72047B87"/>
    <w:rsid w:val="72055915"/>
    <w:rsid w:val="72521708"/>
    <w:rsid w:val="72553024"/>
    <w:rsid w:val="72F97862"/>
    <w:rsid w:val="73122968"/>
    <w:rsid w:val="731F5D5E"/>
    <w:rsid w:val="73C51AD5"/>
    <w:rsid w:val="741E793C"/>
    <w:rsid w:val="745E3944"/>
    <w:rsid w:val="74A16D28"/>
    <w:rsid w:val="75483F2B"/>
    <w:rsid w:val="75BD5871"/>
    <w:rsid w:val="7603253D"/>
    <w:rsid w:val="7635099D"/>
    <w:rsid w:val="7649701C"/>
    <w:rsid w:val="775C7203"/>
    <w:rsid w:val="77762421"/>
    <w:rsid w:val="77B56B1F"/>
    <w:rsid w:val="780F09F4"/>
    <w:rsid w:val="7812735B"/>
    <w:rsid w:val="7813790D"/>
    <w:rsid w:val="78A90480"/>
    <w:rsid w:val="78EA32A9"/>
    <w:rsid w:val="7A364017"/>
    <w:rsid w:val="7A8265E1"/>
    <w:rsid w:val="7B385B00"/>
    <w:rsid w:val="7B686D42"/>
    <w:rsid w:val="7B841746"/>
    <w:rsid w:val="7C2041CC"/>
    <w:rsid w:val="7C6C5AC7"/>
    <w:rsid w:val="7C764F2A"/>
    <w:rsid w:val="7CC6544B"/>
    <w:rsid w:val="7CE320E9"/>
    <w:rsid w:val="7D0239FF"/>
    <w:rsid w:val="7D5E40CD"/>
    <w:rsid w:val="7DCD56F2"/>
    <w:rsid w:val="7EF533D8"/>
    <w:rsid w:val="7EFD099E"/>
    <w:rsid w:val="7F001CE7"/>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ocked="1"/>
    <w:lsdException w:unhideWhenUsed="0" w:uiPriority="0" w:semiHidden="0" w:name="footnote text" w:locked="1"/>
    <w:lsdException w:qFormat="1" w:uiPriority="99"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iPriority="99"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qFormat="1"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99"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0"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7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23"/>
    <w:qFormat/>
    <w:locked/>
    <w:uiPriority w:val="99"/>
    <w:pPr>
      <w:keepNext/>
      <w:overflowPunct w:val="0"/>
      <w:snapToGrid w:val="0"/>
      <w:spacing w:before="120" w:after="160" w:line="260" w:lineRule="auto"/>
      <w:ind w:left="431" w:firstLine="0" w:firstLineChars="0"/>
      <w:outlineLvl w:val="0"/>
    </w:pPr>
    <w:rPr>
      <w:rFonts w:eastAsia="黑体"/>
      <w:b/>
      <w:bCs/>
      <w:color w:val="000000"/>
      <w:kern w:val="44"/>
      <w:sz w:val="30"/>
      <w:szCs w:val="30"/>
    </w:rPr>
  </w:style>
  <w:style w:type="paragraph" w:styleId="3">
    <w:name w:val="heading 4"/>
    <w:basedOn w:val="1"/>
    <w:next w:val="1"/>
    <w:qFormat/>
    <w:locked/>
    <w:uiPriority w:val="0"/>
    <w:pPr>
      <w:spacing w:before="100" w:beforeAutospacing="1" w:after="100" w:afterAutospacing="1"/>
      <w:jc w:val="left"/>
      <w:outlineLvl w:val="3"/>
    </w:pPr>
    <w:rPr>
      <w:rFonts w:hint="eastAsia" w:ascii="宋体" w:hAnsi="宋体"/>
      <w:b/>
      <w:bCs/>
      <w:kern w:val="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4"/>
    <w:semiHidden/>
    <w:unhideWhenUsed/>
    <w:qFormat/>
    <w:uiPriority w:val="99"/>
    <w:pPr>
      <w:jc w:val="left"/>
    </w:pPr>
    <w:rPr>
      <w:sz w:val="18"/>
      <w:szCs w:val="18"/>
    </w:rPr>
  </w:style>
  <w:style w:type="paragraph" w:styleId="5">
    <w:name w:val="Body Text"/>
    <w:basedOn w:val="1"/>
    <w:link w:val="25"/>
    <w:qFormat/>
    <w:uiPriority w:val="0"/>
    <w:pPr>
      <w:widowControl/>
      <w:snapToGrid w:val="0"/>
      <w:spacing w:before="60" w:after="160" w:line="259" w:lineRule="auto"/>
      <w:ind w:right="113"/>
    </w:pPr>
    <w:rPr>
      <w:kern w:val="0"/>
      <w:sz w:val="18"/>
      <w:szCs w:val="20"/>
    </w:rPr>
  </w:style>
  <w:style w:type="paragraph" w:styleId="6">
    <w:name w:val="Body Text Indent"/>
    <w:basedOn w:val="1"/>
    <w:next w:val="3"/>
    <w:link w:val="26"/>
    <w:qFormat/>
    <w:uiPriority w:val="0"/>
    <w:pPr>
      <w:spacing w:after="120"/>
      <w:ind w:left="420" w:leftChars="200"/>
    </w:pPr>
    <w:rPr>
      <w:kern w:val="0"/>
      <w:szCs w:val="20"/>
    </w:rPr>
  </w:style>
  <w:style w:type="paragraph" w:styleId="7">
    <w:name w:val="Plain Text"/>
    <w:basedOn w:val="1"/>
    <w:qFormat/>
    <w:locked/>
    <w:uiPriority w:val="99"/>
    <w:rPr>
      <w:rFonts w:ascii="宋体" w:hAnsi="Courier New" w:cs="Courier New"/>
      <w:szCs w:val="21"/>
      <w:lang w:val="en-GB"/>
    </w:rPr>
  </w:style>
  <w:style w:type="paragraph" w:styleId="8">
    <w:name w:val="Date"/>
    <w:basedOn w:val="1"/>
    <w:next w:val="1"/>
    <w:link w:val="27"/>
    <w:qFormat/>
    <w:uiPriority w:val="0"/>
    <w:pPr>
      <w:ind w:left="100" w:leftChars="2500"/>
    </w:pPr>
    <w:rPr>
      <w:kern w:val="0"/>
      <w:szCs w:val="20"/>
    </w:rPr>
  </w:style>
  <w:style w:type="paragraph" w:styleId="9">
    <w:name w:val="Balloon Text"/>
    <w:basedOn w:val="1"/>
    <w:link w:val="28"/>
    <w:semiHidden/>
    <w:qFormat/>
    <w:uiPriority w:val="0"/>
    <w:rPr>
      <w:kern w:val="0"/>
      <w:sz w:val="18"/>
      <w:szCs w:val="20"/>
    </w:rPr>
  </w:style>
  <w:style w:type="paragraph" w:styleId="10">
    <w:name w:val="footer"/>
    <w:basedOn w:val="1"/>
    <w:link w:val="29"/>
    <w:qFormat/>
    <w:uiPriority w:val="99"/>
    <w:pPr>
      <w:tabs>
        <w:tab w:val="center" w:pos="4153"/>
        <w:tab w:val="right" w:pos="8306"/>
      </w:tabs>
      <w:snapToGrid w:val="0"/>
      <w:jc w:val="left"/>
    </w:pPr>
    <w:rPr>
      <w:kern w:val="0"/>
      <w:sz w:val="18"/>
      <w:szCs w:val="20"/>
    </w:rPr>
  </w:style>
  <w:style w:type="paragraph" w:styleId="11">
    <w:name w:val="header"/>
    <w:basedOn w:val="1"/>
    <w:link w:val="30"/>
    <w:qFormat/>
    <w:uiPriority w:val="0"/>
    <w:pPr>
      <w:pBdr>
        <w:bottom w:val="single" w:color="auto" w:sz="6" w:space="1"/>
      </w:pBdr>
      <w:tabs>
        <w:tab w:val="center" w:pos="4153"/>
        <w:tab w:val="right" w:pos="8306"/>
      </w:tabs>
      <w:snapToGrid w:val="0"/>
      <w:jc w:val="center"/>
    </w:pPr>
    <w:rPr>
      <w:kern w:val="0"/>
      <w:sz w:val="18"/>
      <w:szCs w:val="20"/>
    </w:rPr>
  </w:style>
  <w:style w:type="paragraph" w:styleId="12">
    <w:name w:val="toc 1"/>
    <w:basedOn w:val="1"/>
    <w:next w:val="1"/>
    <w:qFormat/>
    <w:locked/>
    <w:uiPriority w:val="0"/>
    <w:pPr>
      <w:ind w:firstLine="0" w:firstLineChars="0"/>
    </w:pPr>
  </w:style>
  <w:style w:type="paragraph" w:styleId="13">
    <w:name w:val="Normal (Web)"/>
    <w:basedOn w:val="1"/>
    <w:link w:val="31"/>
    <w:qFormat/>
    <w:uiPriority w:val="0"/>
    <w:pPr>
      <w:widowControl/>
      <w:spacing w:beforeAutospacing="1" w:afterAutospacing="1"/>
      <w:ind w:firstLine="0" w:firstLineChars="0"/>
      <w:jc w:val="center"/>
    </w:pPr>
    <w:rPr>
      <w:rFonts w:ascii="宋体" w:hAnsi="宋体"/>
      <w:kern w:val="0"/>
      <w:szCs w:val="20"/>
    </w:rPr>
  </w:style>
  <w:style w:type="paragraph" w:styleId="14">
    <w:name w:val="annotation subject"/>
    <w:basedOn w:val="4"/>
    <w:next w:val="4"/>
    <w:link w:val="32"/>
    <w:semiHidden/>
    <w:qFormat/>
    <w:uiPriority w:val="0"/>
    <w:rPr>
      <w:b/>
      <w:sz w:val="24"/>
      <w:szCs w:val="20"/>
    </w:rPr>
  </w:style>
  <w:style w:type="paragraph" w:styleId="15">
    <w:name w:val="Body Text First Indent 2"/>
    <w:basedOn w:val="6"/>
    <w:next w:val="1"/>
    <w:unhideWhenUsed/>
    <w:qFormat/>
    <w:locked/>
    <w:uiPriority w:val="0"/>
    <w:pPr>
      <w:adjustRightInd w:val="0"/>
      <w:ind w:firstLine="420"/>
      <w:contextualSpacing/>
      <w:jc w:val="left"/>
    </w:pPr>
    <w:rPr>
      <w:sz w:val="21"/>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locked/>
    <w:uiPriority w:val="0"/>
    <w:rPr>
      <w:b/>
    </w:rPr>
  </w:style>
  <w:style w:type="character" w:styleId="20">
    <w:name w:val="page number"/>
    <w:basedOn w:val="18"/>
    <w:qFormat/>
    <w:locked/>
    <w:uiPriority w:val="0"/>
  </w:style>
  <w:style w:type="character" w:styleId="21">
    <w:name w:val="Hyperlink"/>
    <w:basedOn w:val="18"/>
    <w:qFormat/>
    <w:locked/>
    <w:uiPriority w:val="0"/>
    <w:rPr>
      <w:color w:val="0000FF"/>
      <w:u w:val="single"/>
    </w:rPr>
  </w:style>
  <w:style w:type="character" w:styleId="22">
    <w:name w:val="annotation reference"/>
    <w:semiHidden/>
    <w:unhideWhenUsed/>
    <w:qFormat/>
    <w:uiPriority w:val="99"/>
    <w:rPr>
      <w:sz w:val="16"/>
      <w:szCs w:val="16"/>
    </w:rPr>
  </w:style>
  <w:style w:type="character" w:customStyle="1" w:styleId="23">
    <w:name w:val="标题 1 字符"/>
    <w:link w:val="2"/>
    <w:qFormat/>
    <w:uiPriority w:val="99"/>
    <w:rPr>
      <w:rFonts w:ascii="Times New Roman" w:hAnsi="Times New Roman" w:eastAsia="黑体"/>
      <w:b/>
      <w:bCs/>
      <w:color w:val="000000"/>
      <w:kern w:val="44"/>
      <w:sz w:val="30"/>
      <w:szCs w:val="30"/>
    </w:rPr>
  </w:style>
  <w:style w:type="character" w:customStyle="1" w:styleId="24">
    <w:name w:val="批注文字 字符"/>
    <w:link w:val="4"/>
    <w:qFormat/>
    <w:locked/>
    <w:uiPriority w:val="0"/>
    <w:rPr>
      <w:rFonts w:ascii="Times New Roman" w:hAnsi="Times New Roman" w:eastAsia="宋体"/>
      <w:sz w:val="24"/>
    </w:rPr>
  </w:style>
  <w:style w:type="character" w:customStyle="1" w:styleId="25">
    <w:name w:val="正文文本 字符"/>
    <w:link w:val="5"/>
    <w:qFormat/>
    <w:locked/>
    <w:uiPriority w:val="0"/>
    <w:rPr>
      <w:sz w:val="18"/>
    </w:rPr>
  </w:style>
  <w:style w:type="character" w:customStyle="1" w:styleId="26">
    <w:name w:val="正文文本缩进 字符"/>
    <w:link w:val="6"/>
    <w:semiHidden/>
    <w:qFormat/>
    <w:locked/>
    <w:uiPriority w:val="0"/>
    <w:rPr>
      <w:rFonts w:ascii="Times New Roman" w:hAnsi="Times New Roman" w:eastAsia="宋体"/>
      <w:sz w:val="24"/>
    </w:rPr>
  </w:style>
  <w:style w:type="character" w:customStyle="1" w:styleId="27">
    <w:name w:val="日期 字符1"/>
    <w:link w:val="8"/>
    <w:qFormat/>
    <w:locked/>
    <w:uiPriority w:val="0"/>
    <w:rPr>
      <w:rFonts w:ascii="Times New Roman" w:hAnsi="Times New Roman" w:eastAsia="宋体"/>
      <w:sz w:val="24"/>
    </w:rPr>
  </w:style>
  <w:style w:type="character" w:customStyle="1" w:styleId="28">
    <w:name w:val="批注框文本 字符"/>
    <w:link w:val="9"/>
    <w:semiHidden/>
    <w:qFormat/>
    <w:locked/>
    <w:uiPriority w:val="0"/>
    <w:rPr>
      <w:rFonts w:ascii="Times New Roman" w:hAnsi="Times New Roman" w:eastAsia="宋体"/>
      <w:sz w:val="18"/>
    </w:rPr>
  </w:style>
  <w:style w:type="character" w:customStyle="1" w:styleId="29">
    <w:name w:val="页脚 字符1"/>
    <w:link w:val="10"/>
    <w:qFormat/>
    <w:locked/>
    <w:uiPriority w:val="99"/>
    <w:rPr>
      <w:sz w:val="18"/>
    </w:rPr>
  </w:style>
  <w:style w:type="character" w:customStyle="1" w:styleId="30">
    <w:name w:val="页眉 字符"/>
    <w:link w:val="11"/>
    <w:qFormat/>
    <w:locked/>
    <w:uiPriority w:val="0"/>
    <w:rPr>
      <w:sz w:val="18"/>
    </w:rPr>
  </w:style>
  <w:style w:type="character" w:customStyle="1" w:styleId="31">
    <w:name w:val="普通(网站) 字符"/>
    <w:link w:val="13"/>
    <w:qFormat/>
    <w:locked/>
    <w:uiPriority w:val="0"/>
    <w:rPr>
      <w:rFonts w:ascii="宋体" w:hAnsi="宋体" w:eastAsia="宋体"/>
      <w:sz w:val="24"/>
    </w:rPr>
  </w:style>
  <w:style w:type="character" w:customStyle="1" w:styleId="32">
    <w:name w:val="批注主题 字符"/>
    <w:link w:val="14"/>
    <w:semiHidden/>
    <w:qFormat/>
    <w:locked/>
    <w:uiPriority w:val="0"/>
    <w:rPr>
      <w:rFonts w:ascii="Times New Roman" w:hAnsi="Times New Roman" w:eastAsia="宋体"/>
      <w:b/>
      <w:kern w:val="2"/>
      <w:sz w:val="24"/>
    </w:rPr>
  </w:style>
  <w:style w:type="paragraph" w:customStyle="1" w:styleId="33">
    <w:name w:val="表格"/>
    <w:basedOn w:val="1"/>
    <w:next w:val="1"/>
    <w:link w:val="34"/>
    <w:qFormat/>
    <w:uiPriority w:val="0"/>
    <w:pPr>
      <w:adjustRightInd w:val="0"/>
      <w:snapToGrid w:val="0"/>
      <w:spacing w:line="240" w:lineRule="auto"/>
      <w:ind w:firstLine="0" w:firstLineChars="0"/>
      <w:jc w:val="center"/>
    </w:pPr>
    <w:rPr>
      <w:kern w:val="0"/>
      <w:sz w:val="21"/>
      <w:szCs w:val="21"/>
    </w:rPr>
  </w:style>
  <w:style w:type="character" w:customStyle="1" w:styleId="34">
    <w:name w:val="表格 Char"/>
    <w:link w:val="33"/>
    <w:qFormat/>
    <w:locked/>
    <w:uiPriority w:val="0"/>
    <w:rPr>
      <w:rFonts w:ascii="Times New Roman" w:hAnsi="Times New Roman" w:eastAsia="宋体"/>
      <w:sz w:val="21"/>
      <w:szCs w:val="21"/>
    </w:rPr>
  </w:style>
  <w:style w:type="paragraph" w:customStyle="1" w:styleId="35">
    <w:name w:val="表头"/>
    <w:basedOn w:val="1"/>
    <w:next w:val="1"/>
    <w:qFormat/>
    <w:uiPriority w:val="0"/>
    <w:pPr>
      <w:tabs>
        <w:tab w:val="right" w:leader="hyphen" w:pos="8296"/>
      </w:tabs>
      <w:spacing w:line="240" w:lineRule="auto"/>
      <w:ind w:firstLine="0" w:firstLineChars="0"/>
      <w:jc w:val="center"/>
    </w:pPr>
    <w:rPr>
      <w:rFonts w:hint="eastAsia"/>
      <w:b/>
      <w:bCs/>
      <w:color w:val="000000"/>
      <w:sz w:val="21"/>
      <w:szCs w:val="21"/>
    </w:rPr>
  </w:style>
  <w:style w:type="character" w:customStyle="1" w:styleId="36">
    <w:name w:val="页脚 字符"/>
    <w:basedOn w:val="18"/>
    <w:qFormat/>
    <w:uiPriority w:val="99"/>
  </w:style>
  <w:style w:type="character" w:customStyle="1" w:styleId="37">
    <w:name w:val="正文文本 字符1"/>
    <w:semiHidden/>
    <w:qFormat/>
    <w:uiPriority w:val="0"/>
    <w:rPr>
      <w:rFonts w:ascii="Times New Roman" w:hAnsi="Times New Roman" w:eastAsia="宋体"/>
      <w:sz w:val="24"/>
    </w:rPr>
  </w:style>
  <w:style w:type="character" w:customStyle="1" w:styleId="38">
    <w:name w:val="日期 字符"/>
    <w:semiHidden/>
    <w:qFormat/>
    <w:uiPriority w:val="0"/>
    <w:rPr>
      <w:rFonts w:ascii="Times New Roman" w:hAnsi="Times New Roman" w:eastAsia="宋体"/>
      <w:sz w:val="24"/>
    </w:rPr>
  </w:style>
  <w:style w:type="character" w:customStyle="1" w:styleId="39">
    <w:name w:val="批注文字 字符1"/>
    <w:semiHidden/>
    <w:qFormat/>
    <w:uiPriority w:val="0"/>
    <w:rPr>
      <w:rFonts w:ascii="Times New Roman" w:hAnsi="Times New Roman" w:eastAsia="宋体"/>
      <w:sz w:val="24"/>
    </w:rPr>
  </w:style>
  <w:style w:type="paragraph" w:customStyle="1" w:styleId="40">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1">
    <w:name w:val="普通(网站)2"/>
    <w:basedOn w:val="1"/>
    <w:qFormat/>
    <w:uiPriority w:val="0"/>
    <w:pPr>
      <w:widowControl/>
      <w:spacing w:before="100" w:beforeAutospacing="1" w:after="100" w:afterAutospacing="1"/>
      <w:jc w:val="left"/>
    </w:pPr>
    <w:rPr>
      <w:rFonts w:ascii="宋体" w:hAnsi="宋体"/>
      <w:szCs w:val="20"/>
    </w:rPr>
  </w:style>
  <w:style w:type="paragraph" w:customStyle="1" w:styleId="42">
    <w:name w:val="Table Text"/>
    <w:basedOn w:val="1"/>
    <w:semiHidden/>
    <w:qFormat/>
    <w:uiPriority w:val="0"/>
    <w:rPr>
      <w:rFonts w:ascii="宋体" w:hAnsi="宋体" w:cs="宋体"/>
      <w:lang w:eastAsia="en-US"/>
    </w:rPr>
  </w:style>
  <w:style w:type="table" w:customStyle="1" w:styleId="43">
    <w:name w:val="Table Normal"/>
    <w:semiHidden/>
    <w:unhideWhenUsed/>
    <w:qFormat/>
    <w:uiPriority w:val="0"/>
    <w:tblPr>
      <w:tblCellMar>
        <w:top w:w="0" w:type="dxa"/>
        <w:left w:w="0" w:type="dxa"/>
        <w:bottom w:w="0" w:type="dxa"/>
        <w:right w:w="0" w:type="dxa"/>
      </w:tblCellMar>
    </w:tblPr>
  </w:style>
  <w:style w:type="paragraph" w:customStyle="1" w:styleId="44">
    <w:name w:val="_Style 1"/>
    <w:qFormat/>
    <w:uiPriority w:val="0"/>
    <w:pPr>
      <w:adjustRightInd w:val="0"/>
      <w:snapToGrid w:val="0"/>
      <w:spacing w:line="480" w:lineRule="exact"/>
      <w:ind w:firstLine="480" w:firstLineChars="200"/>
    </w:pPr>
    <w:rPr>
      <w:rFonts w:ascii="Times New Roman" w:hAnsi="Times New Roman"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3" Type="http://schemas.openxmlformats.org/officeDocument/2006/relationships/fontTable" Target="fontTable.xml"/><Relationship Id="rId82" Type="http://schemas.openxmlformats.org/officeDocument/2006/relationships/customXml" Target="../customXml/item1.xml"/><Relationship Id="rId81" Type="http://schemas.openxmlformats.org/officeDocument/2006/relationships/image" Target="media/image71.png"/><Relationship Id="rId80" Type="http://schemas.openxmlformats.org/officeDocument/2006/relationships/image" Target="media/image70.png"/><Relationship Id="rId8" Type="http://schemas.openxmlformats.org/officeDocument/2006/relationships/footer" Target="footer3.xml"/><Relationship Id="rId79" Type="http://schemas.openxmlformats.org/officeDocument/2006/relationships/image" Target="media/image69.png"/><Relationship Id="rId78" Type="http://schemas.openxmlformats.org/officeDocument/2006/relationships/image" Target="media/image68.png"/><Relationship Id="rId77" Type="http://schemas.openxmlformats.org/officeDocument/2006/relationships/image" Target="media/image67.jpeg"/><Relationship Id="rId76" Type="http://schemas.openxmlformats.org/officeDocument/2006/relationships/image" Target="media/image66.jpeg"/><Relationship Id="rId75" Type="http://schemas.openxmlformats.org/officeDocument/2006/relationships/image" Target="media/image65.jpeg"/><Relationship Id="rId74" Type="http://schemas.openxmlformats.org/officeDocument/2006/relationships/image" Target="media/image64.jpeg"/><Relationship Id="rId73" Type="http://schemas.openxmlformats.org/officeDocument/2006/relationships/image" Target="media/image63.jpeg"/><Relationship Id="rId72" Type="http://schemas.openxmlformats.org/officeDocument/2006/relationships/image" Target="media/image62.jpeg"/><Relationship Id="rId71" Type="http://schemas.openxmlformats.org/officeDocument/2006/relationships/image" Target="media/image61.jpeg"/><Relationship Id="rId70" Type="http://schemas.openxmlformats.org/officeDocument/2006/relationships/image" Target="media/image60.jpeg"/><Relationship Id="rId7" Type="http://schemas.openxmlformats.org/officeDocument/2006/relationships/footer" Target="footer2.xml"/><Relationship Id="rId69" Type="http://schemas.openxmlformats.org/officeDocument/2006/relationships/image" Target="media/image59.jpeg"/><Relationship Id="rId68" Type="http://schemas.openxmlformats.org/officeDocument/2006/relationships/image" Target="media/image58.png"/><Relationship Id="rId67" Type="http://schemas.openxmlformats.org/officeDocument/2006/relationships/image" Target="media/image57.png"/><Relationship Id="rId66" Type="http://schemas.openxmlformats.org/officeDocument/2006/relationships/image" Target="media/image56.png"/><Relationship Id="rId65" Type="http://schemas.openxmlformats.org/officeDocument/2006/relationships/image" Target="media/image55.png"/><Relationship Id="rId64" Type="http://schemas.openxmlformats.org/officeDocument/2006/relationships/image" Target="media/image54.png"/><Relationship Id="rId63" Type="http://schemas.openxmlformats.org/officeDocument/2006/relationships/image" Target="media/image53.png"/><Relationship Id="rId62" Type="http://schemas.openxmlformats.org/officeDocument/2006/relationships/image" Target="media/image52.png"/><Relationship Id="rId61" Type="http://schemas.openxmlformats.org/officeDocument/2006/relationships/image" Target="media/image51.png"/><Relationship Id="rId60" Type="http://schemas.openxmlformats.org/officeDocument/2006/relationships/image" Target="media/image50.jpeg"/><Relationship Id="rId6" Type="http://schemas.openxmlformats.org/officeDocument/2006/relationships/footer" Target="footer1.xml"/><Relationship Id="rId59" Type="http://schemas.openxmlformats.org/officeDocument/2006/relationships/image" Target="media/image49.jpeg"/><Relationship Id="rId58" Type="http://schemas.openxmlformats.org/officeDocument/2006/relationships/image" Target="media/image48.jpeg"/><Relationship Id="rId57" Type="http://schemas.openxmlformats.org/officeDocument/2006/relationships/image" Target="media/image47.jpeg"/><Relationship Id="rId56" Type="http://schemas.openxmlformats.org/officeDocument/2006/relationships/image" Target="media/image46.png"/><Relationship Id="rId55" Type="http://schemas.openxmlformats.org/officeDocument/2006/relationships/image" Target="media/image45.png"/><Relationship Id="rId54" Type="http://schemas.openxmlformats.org/officeDocument/2006/relationships/image" Target="media/image44.png"/><Relationship Id="rId53" Type="http://schemas.openxmlformats.org/officeDocument/2006/relationships/image" Target="media/image43.png"/><Relationship Id="rId52" Type="http://schemas.openxmlformats.org/officeDocument/2006/relationships/image" Target="media/image42.png"/><Relationship Id="rId51" Type="http://schemas.openxmlformats.org/officeDocument/2006/relationships/image" Target="media/image41.jpeg"/><Relationship Id="rId50" Type="http://schemas.openxmlformats.org/officeDocument/2006/relationships/image" Target="media/image40.jpeg"/><Relationship Id="rId5" Type="http://schemas.openxmlformats.org/officeDocument/2006/relationships/header" Target="header1.xml"/><Relationship Id="rId49" Type="http://schemas.openxmlformats.org/officeDocument/2006/relationships/image" Target="media/image39.jpeg"/><Relationship Id="rId48" Type="http://schemas.openxmlformats.org/officeDocument/2006/relationships/image" Target="media/image38.jpeg"/><Relationship Id="rId47" Type="http://schemas.openxmlformats.org/officeDocument/2006/relationships/image" Target="media/image37.jpeg"/><Relationship Id="rId46" Type="http://schemas.openxmlformats.org/officeDocument/2006/relationships/image" Target="media/image36.jpeg"/><Relationship Id="rId45" Type="http://schemas.openxmlformats.org/officeDocument/2006/relationships/image" Target="media/image35.jpeg"/><Relationship Id="rId44" Type="http://schemas.openxmlformats.org/officeDocument/2006/relationships/image" Target="media/image34.jpeg"/><Relationship Id="rId43" Type="http://schemas.openxmlformats.org/officeDocument/2006/relationships/image" Target="media/image33.jpeg"/><Relationship Id="rId42" Type="http://schemas.openxmlformats.org/officeDocument/2006/relationships/image" Target="media/image32.jpeg"/><Relationship Id="rId41" Type="http://schemas.openxmlformats.org/officeDocument/2006/relationships/image" Target="media/image31.jpeg"/><Relationship Id="rId40" Type="http://schemas.openxmlformats.org/officeDocument/2006/relationships/image" Target="media/image30.jpeg"/><Relationship Id="rId4" Type="http://schemas.openxmlformats.org/officeDocument/2006/relationships/endnotes" Target="endnotes.xml"/><Relationship Id="rId39" Type="http://schemas.openxmlformats.org/officeDocument/2006/relationships/image" Target="media/image29.jpeg"/><Relationship Id="rId38" Type="http://schemas.openxmlformats.org/officeDocument/2006/relationships/image" Target="media/image28.jpeg"/><Relationship Id="rId37" Type="http://schemas.openxmlformats.org/officeDocument/2006/relationships/image" Target="media/image27.jpeg"/><Relationship Id="rId36" Type="http://schemas.openxmlformats.org/officeDocument/2006/relationships/image" Target="media/image26.jpeg"/><Relationship Id="rId35" Type="http://schemas.openxmlformats.org/officeDocument/2006/relationships/image" Target="media/image25.png"/><Relationship Id="rId34" Type="http://schemas.openxmlformats.org/officeDocument/2006/relationships/image" Target="media/image24.jpeg"/><Relationship Id="rId33" Type="http://schemas.openxmlformats.org/officeDocument/2006/relationships/image" Target="media/image23.jpe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footnotes" Target="footnotes.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Company>微软中国</Company>
  <Pages>126</Pages>
  <Words>4510</Words>
  <Characters>5010</Characters>
  <Lines>355</Lines>
  <Paragraphs>100</Paragraphs>
  <TotalTime>20</TotalTime>
  <ScaleCrop>false</ScaleCrop>
  <LinksUpToDate>false</LinksUpToDate>
  <CharactersWithSpaces>5097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柳源环保公司</cp:lastModifiedBy>
  <cp:lastPrinted>2020-12-29T02:43:00Z</cp:lastPrinted>
  <dcterms:modified xsi:type="dcterms:W3CDTF">2026-09-29T06:24:48Z</dcterms:modified>
  <dc:title>附件2</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eyJoZGlkIjoiNzBiMjgxZTQ5NDllZDRkMGQ4MzI1OWVkNjgyODM1ZDQiLCJ1c2VySWQiOiI5MzI0MDAyODEifQ==</vt:lpwstr>
  </property>
  <property fmtid="{D5CDD505-2E9C-101B-9397-08002B2CF9AE}" pid="4" name="ICV">
    <vt:lpwstr>0BE13CB2DCD442DB8FCA50CE6F8F28DA_13</vt:lpwstr>
  </property>
</Properties>
</file>