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2A2AB9">
      <w:pPr>
        <w:spacing w:line="600" w:lineRule="exact"/>
        <w:jc w:val="left"/>
        <w:rPr>
          <w:rFonts w:ascii="黑体" w:hAnsi="黑体" w:eastAsia="黑体"/>
          <w:sz w:val="32"/>
          <w:szCs w:val="32"/>
          <w:lang w:val="en-US"/>
        </w:rPr>
      </w:pPr>
      <w:r>
        <w:rPr>
          <w:rFonts w:hint="eastAsia" w:ascii="黑体" w:hAnsi="黑体" w:eastAsia="黑体"/>
          <w:sz w:val="32"/>
          <w:szCs w:val="32"/>
        </w:rPr>
        <w:t>附件</w:t>
      </w:r>
      <w:r>
        <w:rPr>
          <w:rFonts w:hint="eastAsia" w:ascii="黑体" w:hAnsi="黑体" w:eastAsia="黑体"/>
          <w:sz w:val="32"/>
          <w:szCs w:val="32"/>
          <w:lang w:val="en-US" w:eastAsia="zh-CN"/>
        </w:rPr>
        <w:t>4</w:t>
      </w:r>
    </w:p>
    <w:p w14:paraId="72A4135F">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部分检验项目的说明</w:t>
      </w:r>
    </w:p>
    <w:p w14:paraId="3706E5C3"/>
    <w:p w14:paraId="2ACEEAB4">
      <w:pPr>
        <w:pStyle w:val="7"/>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Calibri" w:eastAsia="仿宋_GB2312"/>
          <w:sz w:val="32"/>
          <w:szCs w:val="32"/>
          <w:lang w:val="en-US" w:eastAsia="zh-CN"/>
        </w:rPr>
      </w:pPr>
      <w:r>
        <w:rPr>
          <w:rFonts w:hint="eastAsia" w:ascii="黑体" w:hAnsi="黑体" w:eastAsia="黑体" w:cs="黑体"/>
          <w:sz w:val="32"/>
          <w:szCs w:val="32"/>
          <w:lang w:val="en-US" w:eastAsia="zh-CN"/>
        </w:rPr>
        <w:t>一、脱氢乙酸及其钠盐(以脱氢乙酸计)</w:t>
      </w:r>
    </w:p>
    <w:p w14:paraId="26926236">
      <w:pPr>
        <w:pStyle w:val="7"/>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Calibri" w:eastAsia="仿宋_GB2312"/>
          <w:sz w:val="32"/>
          <w:szCs w:val="32"/>
          <w:lang w:val="en-US" w:eastAsia="zh-CN"/>
        </w:rPr>
      </w:pPr>
      <w:r>
        <w:rPr>
          <w:rFonts w:hint="eastAsia" w:ascii="仿宋_GB2312" w:hAnsi="Calibri" w:eastAsia="仿宋_GB2312"/>
          <w:sz w:val="32"/>
          <w:szCs w:val="32"/>
          <w:lang w:val="en-US" w:eastAsia="zh-CN"/>
        </w:rPr>
        <w:t>脱氢乙酸及其钠盐是一种食品添加剂，作为低毒高效的防腐剂，对霉菌、酵母菌、细菌具有很好的抑制作用。如果过量食用会造成人体新陈代谢紊乱，对代谢排毒能力较差人群伤害更加明显。</w:t>
      </w:r>
    </w:p>
    <w:p w14:paraId="5D4AE994">
      <w:pPr>
        <w:pStyle w:val="7"/>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Calibri" w:eastAsia="仿宋_GB2312"/>
          <w:sz w:val="32"/>
          <w:szCs w:val="32"/>
          <w:lang w:val="en-US" w:eastAsia="zh-CN"/>
        </w:rPr>
      </w:pPr>
      <w:r>
        <w:rPr>
          <w:rFonts w:hint="eastAsia" w:ascii="仿宋_GB2312" w:hAnsi="Calibri" w:eastAsia="仿宋_GB2312"/>
          <w:sz w:val="32"/>
          <w:szCs w:val="32"/>
          <w:lang w:val="en-US" w:eastAsia="zh-CN"/>
        </w:rPr>
        <w:t>脱氢乙酸不合格的原因可能是个别企业为防止食品腐败变质，超范围使用了该添加剂，或者其使用的复配添加剂中该添加剂含量较高。</w:t>
      </w:r>
    </w:p>
    <w:p w14:paraId="124CBAAB">
      <w:pPr>
        <w:pStyle w:val="7"/>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二、过氧化值 </w:t>
      </w:r>
    </w:p>
    <w:p w14:paraId="14DC77B6">
      <w:pPr>
        <w:pStyle w:val="7"/>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Calibri" w:eastAsia="仿宋_GB2312"/>
          <w:sz w:val="32"/>
          <w:szCs w:val="32"/>
          <w:lang w:val="en-US" w:eastAsia="zh-CN"/>
        </w:rPr>
      </w:pPr>
      <w:r>
        <w:rPr>
          <w:rFonts w:hint="eastAsia" w:ascii="仿宋_GB2312" w:hAnsi="Calibri" w:eastAsia="仿宋_GB2312"/>
          <w:sz w:val="32"/>
          <w:szCs w:val="32"/>
          <w:lang w:val="en-US" w:eastAsia="zh-CN"/>
        </w:rPr>
        <w:t>过氧化值是表示油脂和脂肪酸等被氧化程度的一项指标。主要用于说明样品是否因已被氧化而变质。以油脂、脂肪为原料而制作的食品，随着油脂氧化，过氧化值会逐步升高，虽一般不会对人体的健康产生损害，但严重时会导致肠胃不适、腹泻等症状。造成产品不合格的原因是含油类食品长期存放，条件不满足要求而导致油脂被氧化，造成过氧化值超过国家标准限量值。另一个原因可能是食品生产企业为了降低成本使用劣质食用油加工食品，造成含油类食品中过氧化值超过国家标准限量值。</w:t>
      </w:r>
    </w:p>
    <w:p w14:paraId="45DD6474">
      <w:pPr>
        <w:pStyle w:val="7"/>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三、恩诺沙星</w:t>
      </w:r>
    </w:p>
    <w:p w14:paraId="23C2A59C">
      <w:pPr>
        <w:pStyle w:val="7"/>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Calibri" w:eastAsia="仿宋_GB2312"/>
          <w:sz w:val="32"/>
          <w:szCs w:val="32"/>
          <w:lang w:val="en-US" w:eastAsia="zh-CN"/>
        </w:rPr>
      </w:pPr>
      <w:r>
        <w:rPr>
          <w:rFonts w:hint="eastAsia" w:ascii="仿宋_GB2312" w:hAnsi="Calibri" w:eastAsia="仿宋_GB2312"/>
          <w:sz w:val="32"/>
          <w:szCs w:val="32"/>
          <w:lang w:val="en-US" w:eastAsia="zh-CN"/>
        </w:rPr>
        <w:t>恩诺沙星属第三代喹诺酮类合成抗菌药，对水产养殖中的气单胞菌、弧菌等革兰氏阴性菌具有广谱杀菌作用，是养殖环节常用的治疗药物。该药物在动物体内部分代谢为环丙沙星，两者残留总和为判定指标。摄入过量恩诺沙星，可能引起人体胃肠道刺激、中枢神经系统不良反应，并诱导细菌耐药性。《食品安全国家标准 食品中兽药最大残留限量》（GB 31650-2019）中规定，恩诺沙星与环丙沙星之和在水产品中的最大残留限量为 100 μg/kg。水产品中恩诺沙星残留量超标的原因，通常是养殖户为防治烂鳃、肠炎等疾病超剂量用药，或未严格执行休药期管理规定提前上市，以及高密度养殖模式下将抗生素作为预防性药物日常泼洒，导致药物在体内未充分代谢即进入流通环节。</w:t>
      </w:r>
    </w:p>
    <w:p w14:paraId="2990D57F">
      <w:pPr>
        <w:pStyle w:val="7"/>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四、二氧化硫残留量</w:t>
      </w:r>
    </w:p>
    <w:p w14:paraId="4234EAD5">
      <w:pPr>
        <w:pStyle w:val="7"/>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Calibri" w:eastAsia="仿宋_GB2312"/>
          <w:sz w:val="32"/>
          <w:szCs w:val="32"/>
          <w:lang w:val="en-US" w:eastAsia="zh-CN"/>
        </w:rPr>
      </w:pPr>
      <w:r>
        <w:rPr>
          <w:rFonts w:hint="eastAsia" w:ascii="仿宋_GB2312" w:hAnsi="Calibri" w:eastAsia="仿宋_GB2312"/>
          <w:sz w:val="32"/>
          <w:szCs w:val="32"/>
          <w:lang w:val="en-US" w:eastAsia="zh-CN"/>
        </w:rPr>
        <w:t>二氧化硫(以及焦亚硫酸钾、亚硫酸钠等添加剂)对食品有漂白、防腐和抗氧化作用，是食品加工中常用的漂白剂和防腐剂，使用后均产生二氧化硫残留。摄入少量二氧化硫，可在人体内经酶转化后由尿液排出体外，一般不会对人体健康造成不良影响，但如果长期过量摄入二氧化硫，可能会对健康不利。《食品安全国家标准食品添加剂使用标准》(GB 2760-2024) 中规定，腌渍的蔬菜二氧化硫最大残留量为0.1g/kg。食品中二氧化硫残留量超标的原因可能是生产过程中超量使用二氧化硫、焦亚硫酸钾(钠)、亚硫酸钠、亚硫酸氢钠、低亚硫酸钠。</w:t>
      </w:r>
    </w:p>
    <w:p w14:paraId="67FE8AEE">
      <w:pPr>
        <w:pStyle w:val="7"/>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五、甜蜜素(以环己基氨基磺酸计)</w:t>
      </w:r>
    </w:p>
    <w:p w14:paraId="4E803183">
      <w:pPr>
        <w:pStyle w:val="7"/>
        <w:keepNext w:val="0"/>
        <w:keepLines w:val="0"/>
        <w:pageBreakBefore w:val="0"/>
        <w:widowControl/>
        <w:numPr>
          <w:numId w:val="0"/>
        </w:numPr>
        <w:shd w:val="clear" w:color="auto" w:fill="FFFFFF"/>
        <w:kinsoku/>
        <w:wordWrap w:val="0"/>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Calibri" w:eastAsia="仿宋_GB2312"/>
          <w:sz w:val="32"/>
          <w:szCs w:val="32"/>
          <w:lang w:val="en-US" w:eastAsia="zh-CN"/>
        </w:rPr>
      </w:pPr>
      <w:r>
        <w:rPr>
          <w:rFonts w:hint="eastAsia" w:ascii="仿宋_GB2312" w:hAnsi="Calibri" w:eastAsia="仿宋_GB2312"/>
          <w:sz w:val="32"/>
          <w:szCs w:val="32"/>
          <w:lang w:val="en-US" w:eastAsia="zh-CN"/>
        </w:rPr>
        <w:t>甜蜜素，化学名称为环己基氨基磺酸钠，是食品生产中常用的甜味剂之一，其甜度是蔗糖的40-50倍。长期摄入甜蜜素超标的食品，可能会对人体的肝脏和神经系统造成一定危害。《食品安全国家标准食品添加剂使用标准》(GB2760-2024)中规定，腌渍的蔬菜中甜蜜素的限值为1.0g/Kg。酱腌菜中甜蜜素残留量超标的原因，主要是生产企业为改善风味、掩盖原料本身酸涩感而过量添加，或为降低生产成本减少食糖投料比例、转而依赖高倍甜味剂来维持甜度，以及缺乏精准计量设备、凭经验投料导致实际添加量超出标准限量。</w:t>
      </w:r>
    </w:p>
    <w:p w14:paraId="0EA7F10B">
      <w:pPr>
        <w:pStyle w:val="7"/>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六、铜绿假单胞菌 </w:t>
      </w:r>
    </w:p>
    <w:p w14:paraId="0EEBD0E4">
      <w:pPr>
        <w:pStyle w:val="7"/>
        <w:keepNext w:val="0"/>
        <w:keepLines w:val="0"/>
        <w:pageBreakBefore w:val="0"/>
        <w:widowControl/>
        <w:numPr>
          <w:numId w:val="0"/>
        </w:numPr>
        <w:shd w:val="clear" w:color="auto" w:fill="FFFFFF"/>
        <w:kinsoku/>
        <w:wordWrap w:val="0"/>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Calibri" w:eastAsia="仿宋_GB2312"/>
          <w:sz w:val="32"/>
          <w:szCs w:val="32"/>
          <w:lang w:val="en-US" w:eastAsia="zh-CN"/>
        </w:rPr>
      </w:pPr>
      <w:r>
        <w:rPr>
          <w:rFonts w:hint="eastAsia" w:ascii="仿宋_GB2312" w:hAnsi="Calibri" w:eastAsia="仿宋_GB2312"/>
          <w:sz w:val="32"/>
          <w:szCs w:val="32"/>
          <w:lang w:val="en-US" w:eastAsia="zh-CN"/>
        </w:rPr>
        <w:t>铜绿假单胞菌（Pseudomonas aeruginosa）是一种常见的条件致病菌，广泛分布于水、土壤、空气以及正常人体皮肤和肠道中。该菌对消毒剂、紫外线及干燥环境具有较强的抵抗力，在包装饮用水中检出即意味着产品受到污染。摄入含有该菌的饮用水，可能对抵抗力较弱人群（如老人、儿童、免疫缺陷者）引起腹泻、呼吸道感染甚至败血症等健康风险。《食品安全国家标准 包装饮用水》（GB 19298-2014）中规定，包装饮用水中铜绿假单胞菌n=5，c=0，m=0（CFU/250mL），即所有采样批次的任意一个250mL水样均不得检出。饮用纯净水中铜绿假单胞菌不合格的原因，主要是水源水保护不当受到污染，或生产过程中过滤系统（如RO膜）杀菌不彻底、管道清洗消毒不到位，以及灌装环节卫生控制不严、包装容器（PC桶/瓶盖）清洗消毒未达标导致二次污染。</w:t>
      </w:r>
    </w:p>
    <w:p w14:paraId="7E229221">
      <w:pPr>
        <w:pStyle w:val="7"/>
        <w:keepNext w:val="0"/>
        <w:keepLines w:val="0"/>
        <w:pageBreakBefore w:val="0"/>
        <w:widowControl/>
        <w:numPr>
          <w:ilvl w:val="0"/>
          <w:numId w:val="1"/>
        </w:numPr>
        <w:shd w:val="clear" w:color="auto" w:fill="FFFFFF"/>
        <w:kinsoku/>
        <w:wordWrap w:val="0"/>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柠檬黄 日落黄  </w:t>
      </w:r>
    </w:p>
    <w:p w14:paraId="180AEDD3">
      <w:pPr>
        <w:pStyle w:val="7"/>
        <w:keepNext w:val="0"/>
        <w:keepLines w:val="0"/>
        <w:pageBreakBefore w:val="0"/>
        <w:widowControl/>
        <w:numPr>
          <w:ilvl w:val="0"/>
          <w:numId w:val="0"/>
        </w:numPr>
        <w:shd w:val="clear" w:color="auto" w:fill="FFFFFF"/>
        <w:kinsoku/>
        <w:wordWrap w:val="0"/>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Calibri" w:eastAsia="仿宋_GB2312"/>
          <w:sz w:val="32"/>
          <w:szCs w:val="32"/>
          <w:lang w:val="en-US" w:eastAsia="zh-CN"/>
        </w:rPr>
      </w:pPr>
      <w:r>
        <w:rPr>
          <w:rFonts w:hint="eastAsia" w:ascii="仿宋_GB2312" w:hAnsi="Calibri" w:eastAsia="仿宋_GB2312"/>
          <w:sz w:val="32"/>
          <w:szCs w:val="32"/>
          <w:lang w:val="en-US" w:eastAsia="zh-CN"/>
        </w:rPr>
        <w:t>柠檬黄（又名酒石黄）和日落黄（又名夕阳黄）均为偶氮类人工合成着色剂，色泽鲜艳、稳定性强，在食品工业中广泛用于调色增亮。两者在人体内可代谢生成芳香胺类物质，长期或过量摄入可能对肝脏、肾脏及生殖系统造成损害，并存在致敏风险。《食品安全国家标准 食品添加剂使用标准》（GB 2760-2024）中规定，酱卤肉制品属于“熟肉制品”类别，不得添加柠檬黄和日落黄，即不得检出。酱卤肉制品中检出柠檬黄、日落黄的原因，主要是生产企业为掩盖原料肉色泽不均、提升产品卖相（使表皮呈诱人的金黄色或橙红色）而违规添加，或为降低生产成本使用廉价色素替代糖色（焦糖色）等天然上色工艺，以及生产设备或辅料（如酱油、香辛料）带入含色素的原料未加控制，导致终产品中被检出禁用色素。</w:t>
      </w:r>
      <w:bookmarkStart w:id="0" w:name="_GoBack"/>
      <w:bookmarkEnd w:id="0"/>
    </w:p>
    <w:sectPr>
      <w:footerReference r:id="rId3" w:type="default"/>
      <w:pgSz w:w="11906" w:h="16838"/>
      <w:pgMar w:top="1418" w:right="1418" w:bottom="124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814040"/>
    </w:sdtPr>
    <w:sdtContent>
      <w:p w14:paraId="2452CBBA">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14:paraId="796442FD">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C3791E"/>
    <w:multiLevelType w:val="singleLevel"/>
    <w:tmpl w:val="E2C3791E"/>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JlNzBiODVjOTc3YTMwOTJkYWFiZWQyOTNkYmM3NTAifQ=="/>
  </w:docVars>
  <w:rsids>
    <w:rsidRoot w:val="00172A27"/>
    <w:rsid w:val="00000ACF"/>
    <w:rsid w:val="000F6BC0"/>
    <w:rsid w:val="0010028C"/>
    <w:rsid w:val="00135202"/>
    <w:rsid w:val="00152F66"/>
    <w:rsid w:val="00172A27"/>
    <w:rsid w:val="001775EB"/>
    <w:rsid w:val="00186D8B"/>
    <w:rsid w:val="0019241C"/>
    <w:rsid w:val="001E5A3A"/>
    <w:rsid w:val="00213EC3"/>
    <w:rsid w:val="00216ADD"/>
    <w:rsid w:val="0025700E"/>
    <w:rsid w:val="00294C79"/>
    <w:rsid w:val="002C4D13"/>
    <w:rsid w:val="002C4DBB"/>
    <w:rsid w:val="002D04C5"/>
    <w:rsid w:val="002E4E45"/>
    <w:rsid w:val="0033118D"/>
    <w:rsid w:val="0036336D"/>
    <w:rsid w:val="003A26C5"/>
    <w:rsid w:val="003C3275"/>
    <w:rsid w:val="003D517F"/>
    <w:rsid w:val="00425EBA"/>
    <w:rsid w:val="004D0EFA"/>
    <w:rsid w:val="004D140B"/>
    <w:rsid w:val="004D5D6D"/>
    <w:rsid w:val="0050640B"/>
    <w:rsid w:val="005115B9"/>
    <w:rsid w:val="0052374F"/>
    <w:rsid w:val="00526CD5"/>
    <w:rsid w:val="00530A41"/>
    <w:rsid w:val="005E0EFC"/>
    <w:rsid w:val="005F291C"/>
    <w:rsid w:val="00666E71"/>
    <w:rsid w:val="00681B01"/>
    <w:rsid w:val="006A7872"/>
    <w:rsid w:val="006C2F3D"/>
    <w:rsid w:val="006E6803"/>
    <w:rsid w:val="006F4980"/>
    <w:rsid w:val="007045D5"/>
    <w:rsid w:val="00716DCA"/>
    <w:rsid w:val="007348FE"/>
    <w:rsid w:val="0075253F"/>
    <w:rsid w:val="00765186"/>
    <w:rsid w:val="00787D35"/>
    <w:rsid w:val="007A7366"/>
    <w:rsid w:val="007B3901"/>
    <w:rsid w:val="007D1F3A"/>
    <w:rsid w:val="008109EF"/>
    <w:rsid w:val="008354B6"/>
    <w:rsid w:val="00837B3E"/>
    <w:rsid w:val="00863B78"/>
    <w:rsid w:val="00870C73"/>
    <w:rsid w:val="00893062"/>
    <w:rsid w:val="008946E9"/>
    <w:rsid w:val="008C33DC"/>
    <w:rsid w:val="008D77D2"/>
    <w:rsid w:val="008E2082"/>
    <w:rsid w:val="00945911"/>
    <w:rsid w:val="0096133C"/>
    <w:rsid w:val="00970A12"/>
    <w:rsid w:val="00970C27"/>
    <w:rsid w:val="0099555D"/>
    <w:rsid w:val="00995ADD"/>
    <w:rsid w:val="00A8183D"/>
    <w:rsid w:val="00AB4264"/>
    <w:rsid w:val="00AB46B0"/>
    <w:rsid w:val="00AB79EF"/>
    <w:rsid w:val="00AC3328"/>
    <w:rsid w:val="00AD0F64"/>
    <w:rsid w:val="00AF6A5B"/>
    <w:rsid w:val="00B07EBE"/>
    <w:rsid w:val="00B10AB5"/>
    <w:rsid w:val="00B3076D"/>
    <w:rsid w:val="00B71BD9"/>
    <w:rsid w:val="00B77BC6"/>
    <w:rsid w:val="00B82379"/>
    <w:rsid w:val="00BC5FFA"/>
    <w:rsid w:val="00C148B3"/>
    <w:rsid w:val="00C150FB"/>
    <w:rsid w:val="00C255D0"/>
    <w:rsid w:val="00C63155"/>
    <w:rsid w:val="00C70D05"/>
    <w:rsid w:val="00CE0CFA"/>
    <w:rsid w:val="00CE415A"/>
    <w:rsid w:val="00D51F21"/>
    <w:rsid w:val="00D7281C"/>
    <w:rsid w:val="00D74B3C"/>
    <w:rsid w:val="00D7586E"/>
    <w:rsid w:val="00D96363"/>
    <w:rsid w:val="00E37D11"/>
    <w:rsid w:val="00E54BA5"/>
    <w:rsid w:val="00E57EDA"/>
    <w:rsid w:val="00E60982"/>
    <w:rsid w:val="00E6648D"/>
    <w:rsid w:val="00E94FA5"/>
    <w:rsid w:val="00EA1E26"/>
    <w:rsid w:val="00ED29F9"/>
    <w:rsid w:val="00F14D2D"/>
    <w:rsid w:val="00F16C4C"/>
    <w:rsid w:val="00F23D61"/>
    <w:rsid w:val="00F31F23"/>
    <w:rsid w:val="00F57794"/>
    <w:rsid w:val="00F63DBE"/>
    <w:rsid w:val="00F86C4F"/>
    <w:rsid w:val="00F94CCC"/>
    <w:rsid w:val="00FE29BE"/>
    <w:rsid w:val="00FE5458"/>
    <w:rsid w:val="02DD0008"/>
    <w:rsid w:val="05170298"/>
    <w:rsid w:val="0584075B"/>
    <w:rsid w:val="061E54C3"/>
    <w:rsid w:val="066046B3"/>
    <w:rsid w:val="0C3169D4"/>
    <w:rsid w:val="0C3A016B"/>
    <w:rsid w:val="0E192FEA"/>
    <w:rsid w:val="121C7E9B"/>
    <w:rsid w:val="19481F81"/>
    <w:rsid w:val="1A051288"/>
    <w:rsid w:val="1BA521D5"/>
    <w:rsid w:val="1C3A116B"/>
    <w:rsid w:val="1C9B7729"/>
    <w:rsid w:val="1CB076D3"/>
    <w:rsid w:val="1DFE426D"/>
    <w:rsid w:val="1E75321B"/>
    <w:rsid w:val="21814508"/>
    <w:rsid w:val="22F015DA"/>
    <w:rsid w:val="244C7E9E"/>
    <w:rsid w:val="24F459A5"/>
    <w:rsid w:val="263345BD"/>
    <w:rsid w:val="26411D71"/>
    <w:rsid w:val="29897887"/>
    <w:rsid w:val="2A6C5D1F"/>
    <w:rsid w:val="2EED3D6C"/>
    <w:rsid w:val="2F452583"/>
    <w:rsid w:val="35714F6D"/>
    <w:rsid w:val="364D34E4"/>
    <w:rsid w:val="36EE26AB"/>
    <w:rsid w:val="37DB5CE4"/>
    <w:rsid w:val="37E80FA1"/>
    <w:rsid w:val="386F64E2"/>
    <w:rsid w:val="388E5ADB"/>
    <w:rsid w:val="3A0F29D7"/>
    <w:rsid w:val="3B4E0F4E"/>
    <w:rsid w:val="3E374C21"/>
    <w:rsid w:val="428F0145"/>
    <w:rsid w:val="434E3083"/>
    <w:rsid w:val="44FA3D98"/>
    <w:rsid w:val="45CB49F3"/>
    <w:rsid w:val="463615C8"/>
    <w:rsid w:val="47A71640"/>
    <w:rsid w:val="49926875"/>
    <w:rsid w:val="4B6F0FB6"/>
    <w:rsid w:val="4DD264BF"/>
    <w:rsid w:val="4EF93128"/>
    <w:rsid w:val="517C08E5"/>
    <w:rsid w:val="53A9454A"/>
    <w:rsid w:val="590066E4"/>
    <w:rsid w:val="597177C9"/>
    <w:rsid w:val="59DC7588"/>
    <w:rsid w:val="5BAB49A4"/>
    <w:rsid w:val="5C692729"/>
    <w:rsid w:val="5D0D2E77"/>
    <w:rsid w:val="5E3E7CEE"/>
    <w:rsid w:val="6393035C"/>
    <w:rsid w:val="649E1F99"/>
    <w:rsid w:val="6750254A"/>
    <w:rsid w:val="68C639F2"/>
    <w:rsid w:val="698C246A"/>
    <w:rsid w:val="6B4D608A"/>
    <w:rsid w:val="6D551C56"/>
    <w:rsid w:val="6E863168"/>
    <w:rsid w:val="735B1691"/>
    <w:rsid w:val="738B241F"/>
    <w:rsid w:val="7442269E"/>
    <w:rsid w:val="74B133B5"/>
    <w:rsid w:val="77015847"/>
    <w:rsid w:val="7AB250CC"/>
    <w:rsid w:val="7AF3323E"/>
    <w:rsid w:val="7CB74E1A"/>
    <w:rsid w:val="7F2C5101"/>
    <w:rsid w:val="7F884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unhideWhenUsed/>
    <w:qFormat/>
    <w:uiPriority w:val="1"/>
  </w:style>
  <w:style w:type="table" w:default="1" w:styleId="8">
    <w:name w:val="Normal Table"/>
    <w:autoRedefine/>
    <w:unhideWhenUsed/>
    <w:qFormat/>
    <w:uiPriority w:val="99"/>
    <w:tblPr>
      <w:tblCellMar>
        <w:top w:w="0" w:type="dxa"/>
        <w:left w:w="108" w:type="dxa"/>
        <w:bottom w:w="0" w:type="dxa"/>
        <w:right w:w="108" w:type="dxa"/>
      </w:tblCellMar>
    </w:tblPr>
  </w:style>
  <w:style w:type="paragraph" w:styleId="2">
    <w:name w:val="Body Text"/>
    <w:basedOn w:val="1"/>
    <w:link w:val="15"/>
    <w:qFormat/>
    <w:uiPriority w:val="1"/>
    <w:pPr>
      <w:autoSpaceDE w:val="0"/>
      <w:autoSpaceDN w:val="0"/>
      <w:adjustRightInd w:val="0"/>
      <w:spacing w:before="140"/>
      <w:ind w:left="120"/>
      <w:jc w:val="left"/>
    </w:pPr>
    <w:rPr>
      <w:rFonts w:ascii="仿宋_GB2312" w:hAnsi="Times New Roman" w:eastAsia="仿宋_GB2312" w:cs="仿宋_GB2312"/>
      <w:kern w:val="0"/>
      <w:sz w:val="32"/>
      <w:szCs w:val="32"/>
    </w:rPr>
  </w:style>
  <w:style w:type="paragraph" w:styleId="3">
    <w:name w:val="Date"/>
    <w:basedOn w:val="1"/>
    <w:next w:val="1"/>
    <w:link w:val="11"/>
    <w:unhideWhenUsed/>
    <w:qFormat/>
    <w:uiPriority w:val="99"/>
    <w:pPr>
      <w:ind w:left="100" w:leftChars="2500"/>
    </w:pPr>
  </w:style>
  <w:style w:type="paragraph" w:styleId="4">
    <w:name w:val="Balloon Text"/>
    <w:basedOn w:val="1"/>
    <w:link w:val="17"/>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Autospacing="1" w:afterAutospacing="1"/>
      <w:jc w:val="left"/>
    </w:pPr>
    <w:rPr>
      <w:rFonts w:cs="Times New Roman"/>
      <w:kern w:val="0"/>
      <w:sz w:val="24"/>
    </w:rPr>
  </w:style>
  <w:style w:type="character" w:styleId="10">
    <w:name w:val="Hyperlink"/>
    <w:basedOn w:val="9"/>
    <w:unhideWhenUsed/>
    <w:qFormat/>
    <w:uiPriority w:val="99"/>
    <w:rPr>
      <w:color w:val="0000FF"/>
      <w:u w:val="single"/>
    </w:rPr>
  </w:style>
  <w:style w:type="character" w:customStyle="1" w:styleId="11">
    <w:name w:val="日期 Char"/>
    <w:basedOn w:val="9"/>
    <w:link w:val="3"/>
    <w:semiHidden/>
    <w:qFormat/>
    <w:uiPriority w:val="99"/>
  </w:style>
  <w:style w:type="character" w:customStyle="1" w:styleId="12">
    <w:name w:val="页眉 Char"/>
    <w:basedOn w:val="9"/>
    <w:link w:val="6"/>
    <w:qFormat/>
    <w:uiPriority w:val="0"/>
    <w:rPr>
      <w:sz w:val="18"/>
      <w:szCs w:val="18"/>
    </w:rPr>
  </w:style>
  <w:style w:type="character" w:customStyle="1" w:styleId="13">
    <w:name w:val="页脚 Char"/>
    <w:basedOn w:val="9"/>
    <w:link w:val="5"/>
    <w:qFormat/>
    <w:uiPriority w:val="99"/>
    <w:rPr>
      <w:sz w:val="18"/>
      <w:szCs w:val="18"/>
    </w:rPr>
  </w:style>
  <w:style w:type="paragraph" w:customStyle="1" w:styleId="14">
    <w:name w:val="列出段落1"/>
    <w:basedOn w:val="1"/>
    <w:qFormat/>
    <w:uiPriority w:val="34"/>
    <w:pPr>
      <w:ind w:firstLine="420" w:firstLineChars="200"/>
    </w:pPr>
  </w:style>
  <w:style w:type="character" w:customStyle="1" w:styleId="15">
    <w:name w:val="正文文本 Char"/>
    <w:basedOn w:val="9"/>
    <w:link w:val="2"/>
    <w:qFormat/>
    <w:uiPriority w:val="99"/>
    <w:rPr>
      <w:rFonts w:ascii="仿宋_GB2312" w:hAnsi="Times New Roman" w:eastAsia="仿宋_GB2312" w:cs="仿宋_GB2312"/>
      <w:kern w:val="0"/>
      <w:sz w:val="32"/>
      <w:szCs w:val="32"/>
    </w:rPr>
  </w:style>
  <w:style w:type="paragraph" w:customStyle="1" w:styleId="16">
    <w:name w:val="Default"/>
    <w:unhideWhenUsed/>
    <w:qFormat/>
    <w:uiPriority w:val="99"/>
    <w:pPr>
      <w:widowControl w:val="0"/>
      <w:autoSpaceDE w:val="0"/>
      <w:autoSpaceDN w:val="0"/>
      <w:adjustRightInd w:val="0"/>
    </w:pPr>
    <w:rPr>
      <w:rFonts w:ascii="黑体" w:hAnsi="黑体" w:eastAsia="黑体" w:cs="Times New Roman"/>
      <w:color w:val="000000"/>
      <w:sz w:val="24"/>
      <w:lang w:val="en-US" w:eastAsia="zh-CN" w:bidi="ar-SA"/>
    </w:rPr>
  </w:style>
  <w:style w:type="character" w:customStyle="1" w:styleId="17">
    <w:name w:val="批注框文本 Char"/>
    <w:basedOn w:val="9"/>
    <w:link w:val="4"/>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1311</Words>
  <Characters>1358</Characters>
  <Lines>4</Lines>
  <Paragraphs>1</Paragraphs>
  <TotalTime>89</TotalTime>
  <ScaleCrop>false</ScaleCrop>
  <LinksUpToDate>false</LinksUpToDate>
  <CharactersWithSpaces>1366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2017-03-29T01:55:00Z</dcterms:created>
  <dc:creator>微软用户</dc:creator>
  <cp:lastModifiedBy>July</cp:lastModifiedBy>
  <cp:lastPrinted>2017-03-29T07:42:00Z</cp:lastPrinted>
  <dcterms:modified xsi:type="dcterms:W3CDTF">2026-06-25T09:30:39Z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95D4CCC993C54E2E8C8D422336957F20_12</vt:lpwstr>
  </property>
  <property fmtid="{D5CDD505-2E9C-101B-9397-08002B2CF9AE}" pid="4" name="KSOTemplateDocerSaveRecord">
    <vt:lpwstr>eyJoZGlkIjoiMzJlNzBiODVjOTc3YTMwOTJkYWFiZWQyOTNkYmM3NTAiLCJ1c2VySWQiOiI2MzYyMjQ2MzEifQ==</vt:lpwstr>
  </property>
</Properties>
</file>