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2024年柳江区土博镇甘贡村小屯兵屯水利项目</w:t>
      </w:r>
    </w:p>
    <w:p>
      <w:pPr>
        <w:jc w:val="center"/>
        <w:rPr>
          <w:b/>
          <w:sz w:val="44"/>
          <w:szCs w:val="44"/>
        </w:rPr>
      </w:pP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w:t>
      </w:r>
      <w:r>
        <w:rPr>
          <w:rFonts w:hint="eastAsia" w:ascii="仿宋_GB2312" w:hAnsi="仿宋_GB2312" w:eastAsia="仿宋_GB2312" w:cs="仿宋_GB2312"/>
          <w:sz w:val="32"/>
          <w:szCs w:val="32"/>
          <w:highlight w:val="none"/>
          <w:lang w:val="en-US" w:eastAsia="zh-CN"/>
        </w:rPr>
        <w:t>柳江区土博镇甘贡村小屯兵屯水利项目实施方案</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柳江区土博镇甘贡村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新建长4009米，三面光水渠，主渠1条，其作均为支渠，本项目共27条水渠。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w:t>
      </w:r>
      <w:r>
        <w:rPr>
          <w:rFonts w:hint="eastAsia" w:ascii="仿宋_GB2312" w:hAnsi="仿宋_GB2312" w:eastAsia="仿宋_GB2312" w:cs="仿宋_GB2312"/>
          <w:sz w:val="32"/>
          <w:szCs w:val="32"/>
          <w:highlight w:val="none"/>
          <w:lang w:val="en-US" w:eastAsia="zh-CN"/>
        </w:rPr>
        <w:t>94.227724</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以工代赈方式项目劳务报酬应分别达到该项目中的中央衔接资金、自治区衔接资金15%（含）以上，采取以工代赈方式实施的项目可根据实际情况，合理确定项目资金中劳务报酬发放比例。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土博镇甘贡村进行后续运行管理维护工作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E850DF1"/>
    <w:rsid w:val="408007E5"/>
    <w:rsid w:val="41C821E2"/>
    <w:rsid w:val="422B6DF9"/>
    <w:rsid w:val="42B729B5"/>
    <w:rsid w:val="4367430C"/>
    <w:rsid w:val="43AA7186"/>
    <w:rsid w:val="43B756D0"/>
    <w:rsid w:val="440B6F4D"/>
    <w:rsid w:val="46A6412B"/>
    <w:rsid w:val="483404B6"/>
    <w:rsid w:val="497C5A4F"/>
    <w:rsid w:val="4A6613A0"/>
    <w:rsid w:val="4BFC604B"/>
    <w:rsid w:val="4E072DEF"/>
    <w:rsid w:val="500C0B0A"/>
    <w:rsid w:val="507F6136"/>
    <w:rsid w:val="51614796"/>
    <w:rsid w:val="51A2607D"/>
    <w:rsid w:val="53D37FD9"/>
    <w:rsid w:val="544705F3"/>
    <w:rsid w:val="571E2D20"/>
    <w:rsid w:val="58933BFD"/>
    <w:rsid w:val="58D7799C"/>
    <w:rsid w:val="59982348"/>
    <w:rsid w:val="59DF5702"/>
    <w:rsid w:val="59F21091"/>
    <w:rsid w:val="5BB40343"/>
    <w:rsid w:val="5E066E73"/>
    <w:rsid w:val="5E2F63E4"/>
    <w:rsid w:val="5E43057D"/>
    <w:rsid w:val="613D4A60"/>
    <w:rsid w:val="62096B43"/>
    <w:rsid w:val="627B1AFB"/>
    <w:rsid w:val="62E7394E"/>
    <w:rsid w:val="65816394"/>
    <w:rsid w:val="66BC34BB"/>
    <w:rsid w:val="67383225"/>
    <w:rsid w:val="6A9D0933"/>
    <w:rsid w:val="6EC06769"/>
    <w:rsid w:val="70770441"/>
    <w:rsid w:val="709809AD"/>
    <w:rsid w:val="71B208DC"/>
    <w:rsid w:val="74167ACD"/>
    <w:rsid w:val="75336448"/>
    <w:rsid w:val="777739B2"/>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2</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2024-10-18T02:09:19Z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C1B27701C9CA4210841150D858D2602B</vt:lpwstr>
  </property>
</Properties>
</file>