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2024年穿山镇龙平村谭村屯龙平村道至六庙交界产业路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年基础设施穿山镇龙平村谭村屯龙平村道至六庙交界产业路项目能按时、按质、按量完成，根据有关规定，结合实际，经研究决定，特制定本项目实施方案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柳江区穿山镇龙平村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：新建长1171米，宽3.5米，厚0.2米的产业路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投资80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718731</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穿山镇龙平村</w:t>
      </w:r>
      <w:bookmarkStart w:id="0" w:name="_GoBack"/>
      <w:bookmarkEnd w:id="0"/>
      <w:r>
        <w:rPr>
          <w:rFonts w:hint="eastAsia" w:ascii="仿宋_GB2312" w:hAnsi="仿宋_GB2312" w:eastAsia="仿宋_GB2312" w:cs="仿宋_GB2312"/>
          <w:sz w:val="32"/>
          <w:szCs w:val="32"/>
          <w:lang w:val="en-US" w:eastAsia="zh-CN"/>
        </w:rPr>
        <w:t>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98E5B9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957</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2024-10-18T02:19:18Z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3D022C82BF39446DAC86630243377468</vt:lpwstr>
  </property>
</Properties>
</file>