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17" w:rsidRDefault="005C37B4">
      <w:pPr>
        <w:jc w:val="center"/>
        <w:rPr>
          <w:rFonts w:ascii="黑体" w:eastAsia="黑体" w:hAnsi="黑体"/>
          <w:b/>
          <w:sz w:val="32"/>
          <w:szCs w:val="32"/>
        </w:rPr>
      </w:pPr>
      <w:r>
        <w:rPr>
          <w:rFonts w:ascii="黑体" w:eastAsia="黑体" w:hAnsi="黑体" w:hint="eastAsia"/>
          <w:b/>
          <w:sz w:val="32"/>
          <w:szCs w:val="32"/>
        </w:rPr>
        <w:t>《柳州市柳江区进德镇龙新村村庄规划（</w:t>
      </w:r>
      <w:r>
        <w:rPr>
          <w:rFonts w:ascii="黑体" w:eastAsia="黑体" w:hAnsi="黑体"/>
          <w:b/>
          <w:sz w:val="32"/>
          <w:szCs w:val="32"/>
        </w:rPr>
        <w:t>2020-2035</w:t>
      </w:r>
      <w:r>
        <w:rPr>
          <w:rFonts w:ascii="黑体" w:eastAsia="黑体" w:hAnsi="黑体" w:hint="eastAsia"/>
          <w:b/>
          <w:sz w:val="32"/>
          <w:szCs w:val="32"/>
        </w:rPr>
        <w:t>年）》</w:t>
      </w:r>
    </w:p>
    <w:p w:rsidR="00557117" w:rsidRDefault="005C37B4">
      <w:pPr>
        <w:jc w:val="center"/>
        <w:rPr>
          <w:rFonts w:ascii="黑体" w:eastAsia="黑体" w:hAnsi="黑体"/>
          <w:b/>
          <w:sz w:val="32"/>
          <w:szCs w:val="32"/>
        </w:rPr>
      </w:pPr>
      <w:r>
        <w:rPr>
          <w:rFonts w:ascii="黑体" w:eastAsia="黑体" w:hAnsi="黑体" w:hint="eastAsia"/>
          <w:b/>
          <w:sz w:val="32"/>
          <w:szCs w:val="32"/>
        </w:rPr>
        <w:t>批</w:t>
      </w:r>
      <w:r w:rsidR="00C06F19">
        <w:rPr>
          <w:rFonts w:ascii="黑体" w:eastAsia="黑体" w:hAnsi="黑体" w:hint="eastAsia"/>
          <w:b/>
          <w:sz w:val="32"/>
          <w:szCs w:val="32"/>
        </w:rPr>
        <w:t>后公布</w:t>
      </w:r>
    </w:p>
    <w:p w:rsidR="00557117" w:rsidRDefault="00557117">
      <w:pPr>
        <w:jc w:val="center"/>
        <w:rPr>
          <w:rFonts w:ascii="黑体" w:eastAsia="黑体" w:hAnsi="黑体" w:hint="eastAsia"/>
          <w:sz w:val="24"/>
          <w:szCs w:val="24"/>
        </w:rPr>
      </w:pPr>
    </w:p>
    <w:p w:rsidR="00C06F19" w:rsidRDefault="00C06F19">
      <w:pPr>
        <w:jc w:val="center"/>
        <w:rPr>
          <w:rFonts w:ascii="黑体" w:eastAsia="黑体" w:hAnsi="黑体"/>
          <w:sz w:val="24"/>
          <w:szCs w:val="24"/>
        </w:rPr>
      </w:pPr>
    </w:p>
    <w:p w:rsidR="00C06F19" w:rsidRDefault="00C06F19" w:rsidP="00C06F19">
      <w:pPr>
        <w:ind w:firstLineChars="200" w:firstLine="480"/>
        <w:jc w:val="left"/>
        <w:rPr>
          <w:rFonts w:ascii="黑体" w:eastAsia="黑体" w:hAnsi="黑体"/>
          <w:sz w:val="24"/>
          <w:szCs w:val="24"/>
        </w:rPr>
      </w:pPr>
      <w:r>
        <w:rPr>
          <w:rFonts w:ascii="黑体" w:eastAsia="黑体" w:hAnsi="黑体" w:hint="eastAsia"/>
          <w:sz w:val="24"/>
          <w:szCs w:val="24"/>
        </w:rPr>
        <w:t>《柳州市柳江区进德镇龙新村村庄规划（2020-2035年）》已经柳州市柳江区人民政府批准，现予以公布。</w:t>
      </w:r>
    </w:p>
    <w:p w:rsidR="00C06F19" w:rsidRPr="009E0AF0" w:rsidRDefault="00C06F19" w:rsidP="00C06F19">
      <w:pPr>
        <w:ind w:firstLineChars="200" w:firstLine="480"/>
        <w:jc w:val="left"/>
        <w:rPr>
          <w:rFonts w:ascii="黑体" w:eastAsia="黑体" w:hAnsi="黑体" w:hint="eastAsia"/>
          <w:sz w:val="24"/>
          <w:szCs w:val="24"/>
        </w:rPr>
      </w:pPr>
    </w:p>
    <w:p w:rsidR="00C06F19" w:rsidRDefault="00C06F19" w:rsidP="00C06F19">
      <w:pPr>
        <w:ind w:firstLineChars="200" w:firstLine="480"/>
        <w:jc w:val="left"/>
        <w:rPr>
          <w:rFonts w:ascii="黑体" w:eastAsia="黑体" w:hAnsi="黑体" w:hint="eastAsia"/>
          <w:sz w:val="24"/>
          <w:szCs w:val="24"/>
        </w:rPr>
      </w:pPr>
      <w:r>
        <w:rPr>
          <w:rFonts w:ascii="黑体" w:eastAsia="黑体" w:hAnsi="黑体" w:hint="eastAsia"/>
          <w:sz w:val="24"/>
          <w:szCs w:val="24"/>
        </w:rPr>
        <w:t xml:space="preserve">                                 柳州市柳江区自然资源局</w:t>
      </w:r>
    </w:p>
    <w:p w:rsidR="00C06F19" w:rsidRDefault="00C06F19" w:rsidP="00C06F19">
      <w:pPr>
        <w:ind w:firstLineChars="200" w:firstLine="480"/>
        <w:jc w:val="left"/>
        <w:rPr>
          <w:rFonts w:ascii="黑体" w:eastAsia="黑体" w:hAnsi="黑体" w:hint="eastAsia"/>
          <w:sz w:val="24"/>
          <w:szCs w:val="24"/>
        </w:rPr>
      </w:pPr>
      <w:r>
        <w:rPr>
          <w:rFonts w:ascii="黑体" w:eastAsia="黑体" w:hAnsi="黑体" w:hint="eastAsia"/>
          <w:sz w:val="24"/>
          <w:szCs w:val="24"/>
        </w:rPr>
        <w:t xml:space="preserve">                                      2023年1月10日</w:t>
      </w:r>
    </w:p>
    <w:p w:rsidR="00557117" w:rsidRDefault="00557117">
      <w:pPr>
        <w:jc w:val="left"/>
        <w:rPr>
          <w:rFonts w:ascii="黑体" w:eastAsia="黑体" w:hAnsi="黑体"/>
          <w:b/>
          <w:sz w:val="32"/>
          <w:szCs w:val="32"/>
        </w:rPr>
      </w:pPr>
    </w:p>
    <w:p w:rsidR="00557117" w:rsidRDefault="00557117">
      <w:pPr>
        <w:jc w:val="left"/>
        <w:rPr>
          <w:rFonts w:ascii="黑体" w:eastAsia="黑体" w:hAnsi="黑体"/>
          <w:b/>
          <w:sz w:val="32"/>
          <w:szCs w:val="32"/>
        </w:rPr>
      </w:pPr>
    </w:p>
    <w:p w:rsidR="00557117" w:rsidRDefault="005C37B4">
      <w:pPr>
        <w:tabs>
          <w:tab w:val="center" w:pos="4153"/>
        </w:tabs>
        <w:rPr>
          <w:rFonts w:ascii="黑体" w:eastAsia="黑体" w:hAnsi="黑体"/>
          <w:sz w:val="24"/>
          <w:szCs w:val="24"/>
        </w:rPr>
      </w:pPr>
      <w:r>
        <w:rPr>
          <w:rFonts w:ascii="黑体" w:eastAsia="黑体" w:hAnsi="黑体" w:hint="eastAsia"/>
          <w:sz w:val="24"/>
          <w:szCs w:val="24"/>
        </w:rPr>
        <w:t>一、规划范围</w:t>
      </w:r>
      <w:r>
        <w:rPr>
          <w:rFonts w:ascii="黑体" w:eastAsia="黑体" w:hAnsi="黑体"/>
          <w:sz w:val="24"/>
          <w:szCs w:val="24"/>
        </w:rPr>
        <w:tab/>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本次规划范围为柳州市柳江区龙新村行政范围，总面积为690.39公顷，约</w:t>
      </w:r>
      <w:r>
        <w:rPr>
          <w:rFonts w:ascii="黑体" w:eastAsia="黑体" w:hAnsi="黑体"/>
          <w:sz w:val="24"/>
          <w:szCs w:val="24"/>
        </w:rPr>
        <w:t>10355.85</w:t>
      </w:r>
      <w:r>
        <w:rPr>
          <w:rFonts w:ascii="黑体" w:eastAsia="黑体" w:hAnsi="黑体" w:hint="eastAsia"/>
          <w:sz w:val="24"/>
          <w:szCs w:val="24"/>
        </w:rPr>
        <w:t>亩。</w:t>
      </w:r>
      <w:proofErr w:type="gramStart"/>
      <w:r>
        <w:rPr>
          <w:rFonts w:ascii="黑体" w:eastAsia="黑体" w:hAnsi="黑体" w:hint="eastAsia"/>
          <w:sz w:val="24"/>
          <w:szCs w:val="24"/>
        </w:rPr>
        <w:t>辖</w:t>
      </w:r>
      <w:proofErr w:type="gramEnd"/>
      <w:r>
        <w:rPr>
          <w:rFonts w:ascii="黑体" w:eastAsia="黑体" w:hAnsi="黑体" w:hint="eastAsia"/>
          <w:sz w:val="24"/>
          <w:szCs w:val="24"/>
        </w:rPr>
        <w:t>新村屯、九林屯、西京屯、龙佃屯、龙朝屯、南朝屯、</w:t>
      </w:r>
      <w:proofErr w:type="gramStart"/>
      <w:r>
        <w:rPr>
          <w:rFonts w:ascii="黑体" w:eastAsia="黑体" w:hAnsi="黑体" w:hint="eastAsia"/>
          <w:sz w:val="24"/>
          <w:szCs w:val="24"/>
        </w:rPr>
        <w:t>屯六屯</w:t>
      </w:r>
      <w:proofErr w:type="gramEnd"/>
      <w:r>
        <w:rPr>
          <w:rFonts w:ascii="黑体" w:eastAsia="黑体" w:hAnsi="黑体" w:hint="eastAsia"/>
          <w:sz w:val="24"/>
          <w:szCs w:val="24"/>
        </w:rPr>
        <w:t>、拉羊屯、</w:t>
      </w:r>
      <w:proofErr w:type="gramStart"/>
      <w:r>
        <w:rPr>
          <w:rFonts w:ascii="黑体" w:eastAsia="黑体" w:hAnsi="黑体" w:hint="eastAsia"/>
          <w:sz w:val="24"/>
          <w:szCs w:val="24"/>
        </w:rPr>
        <w:t>良四屯</w:t>
      </w:r>
      <w:proofErr w:type="gramEnd"/>
      <w:r>
        <w:rPr>
          <w:rFonts w:ascii="黑体" w:eastAsia="黑体" w:hAnsi="黑体"/>
          <w:sz w:val="24"/>
          <w:szCs w:val="24"/>
        </w:rPr>
        <w:t>9</w:t>
      </w:r>
      <w:r>
        <w:rPr>
          <w:rFonts w:ascii="黑体" w:eastAsia="黑体" w:hAnsi="黑体" w:hint="eastAsia"/>
          <w:sz w:val="24"/>
          <w:szCs w:val="24"/>
        </w:rPr>
        <w:t>个自然屯。</w:t>
      </w:r>
    </w:p>
    <w:p w:rsidR="00557117" w:rsidRDefault="005C37B4">
      <w:pPr>
        <w:rPr>
          <w:rFonts w:ascii="黑体" w:eastAsia="黑体" w:hAnsi="黑体"/>
          <w:sz w:val="24"/>
          <w:szCs w:val="24"/>
        </w:rPr>
      </w:pPr>
      <w:r>
        <w:rPr>
          <w:rFonts w:ascii="黑体" w:eastAsia="黑体" w:hAnsi="黑体" w:hint="eastAsia"/>
          <w:sz w:val="24"/>
          <w:szCs w:val="24"/>
        </w:rPr>
        <w:t>二、规划期限</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本次村庄规划期限为</w:t>
      </w:r>
      <w:r>
        <w:rPr>
          <w:rFonts w:ascii="黑体" w:eastAsia="黑体" w:hAnsi="黑体"/>
          <w:sz w:val="24"/>
          <w:szCs w:val="24"/>
        </w:rPr>
        <w:t>2020-2035</w:t>
      </w:r>
      <w:r>
        <w:rPr>
          <w:rFonts w:ascii="黑体" w:eastAsia="黑体" w:hAnsi="黑体" w:hint="eastAsia"/>
          <w:sz w:val="24"/>
          <w:szCs w:val="24"/>
        </w:rPr>
        <w:t>年。其中:近期</w:t>
      </w:r>
      <w:r>
        <w:rPr>
          <w:rFonts w:ascii="黑体" w:eastAsia="黑体" w:hAnsi="黑体"/>
          <w:sz w:val="24"/>
          <w:szCs w:val="24"/>
        </w:rPr>
        <w:t>2020-2025</w:t>
      </w:r>
      <w:r>
        <w:rPr>
          <w:rFonts w:ascii="黑体" w:eastAsia="黑体" w:hAnsi="黑体" w:hint="eastAsia"/>
          <w:sz w:val="24"/>
          <w:szCs w:val="24"/>
        </w:rPr>
        <w:t>年；远期</w:t>
      </w:r>
      <w:r>
        <w:rPr>
          <w:rFonts w:ascii="黑体" w:eastAsia="黑体" w:hAnsi="黑体"/>
          <w:sz w:val="24"/>
          <w:szCs w:val="24"/>
        </w:rPr>
        <w:t>2026-2035</w:t>
      </w:r>
      <w:r>
        <w:rPr>
          <w:rFonts w:ascii="黑体" w:eastAsia="黑体" w:hAnsi="黑体" w:hint="eastAsia"/>
          <w:sz w:val="24"/>
          <w:szCs w:val="24"/>
        </w:rPr>
        <w:t>年。</w:t>
      </w:r>
    </w:p>
    <w:p w:rsidR="00557117" w:rsidRDefault="005C37B4">
      <w:pPr>
        <w:rPr>
          <w:rFonts w:ascii="黑体" w:eastAsia="黑体" w:hAnsi="黑体"/>
          <w:sz w:val="24"/>
          <w:szCs w:val="24"/>
        </w:rPr>
      </w:pPr>
      <w:r>
        <w:rPr>
          <w:rFonts w:ascii="黑体" w:eastAsia="黑体" w:hAnsi="黑体" w:hint="eastAsia"/>
          <w:sz w:val="24"/>
          <w:szCs w:val="24"/>
        </w:rPr>
        <w:t>三、规划人口</w:t>
      </w:r>
    </w:p>
    <w:p w:rsidR="00557117" w:rsidRDefault="005C37B4">
      <w:pPr>
        <w:ind w:firstLineChars="200" w:firstLine="480"/>
        <w:rPr>
          <w:rFonts w:ascii="黑体" w:eastAsia="黑体" w:hAnsi="黑体"/>
          <w:sz w:val="24"/>
          <w:szCs w:val="24"/>
        </w:rPr>
      </w:pPr>
      <w:proofErr w:type="gramStart"/>
      <w:r>
        <w:rPr>
          <w:rFonts w:ascii="黑体" w:eastAsia="黑体" w:hAnsi="黑体" w:hint="eastAsia"/>
          <w:sz w:val="24"/>
          <w:szCs w:val="24"/>
        </w:rPr>
        <w:t>至规划</w:t>
      </w:r>
      <w:proofErr w:type="gramEnd"/>
      <w:r>
        <w:rPr>
          <w:rFonts w:ascii="黑体" w:eastAsia="黑体" w:hAnsi="黑体" w:hint="eastAsia"/>
          <w:sz w:val="24"/>
          <w:szCs w:val="24"/>
        </w:rPr>
        <w:t>期末</w:t>
      </w:r>
      <w:r>
        <w:rPr>
          <w:rFonts w:ascii="黑体" w:eastAsia="黑体" w:hAnsi="黑体"/>
          <w:sz w:val="24"/>
          <w:szCs w:val="24"/>
        </w:rPr>
        <w:t>2035</w:t>
      </w:r>
      <w:r>
        <w:rPr>
          <w:rFonts w:ascii="黑体" w:eastAsia="黑体" w:hAnsi="黑体" w:hint="eastAsia"/>
          <w:sz w:val="24"/>
          <w:szCs w:val="24"/>
        </w:rPr>
        <w:t>年，龙新村人口预测为3050人，800户。</w:t>
      </w:r>
    </w:p>
    <w:p w:rsidR="00557117" w:rsidRDefault="005C37B4">
      <w:pPr>
        <w:rPr>
          <w:rFonts w:ascii="黑体" w:eastAsia="黑体" w:hAnsi="黑体"/>
          <w:sz w:val="24"/>
          <w:szCs w:val="24"/>
        </w:rPr>
      </w:pPr>
      <w:r>
        <w:rPr>
          <w:rFonts w:ascii="黑体" w:eastAsia="黑体" w:hAnsi="黑体" w:hint="eastAsia"/>
          <w:sz w:val="24"/>
          <w:szCs w:val="24"/>
        </w:rPr>
        <w:t>四、村庄类型</w:t>
      </w:r>
    </w:p>
    <w:p w:rsidR="00557117" w:rsidRDefault="00B652A9">
      <w:pPr>
        <w:ind w:firstLineChars="200" w:firstLine="480"/>
        <w:rPr>
          <w:rFonts w:ascii="黑体" w:eastAsia="黑体" w:hAnsi="黑体"/>
          <w:sz w:val="24"/>
          <w:szCs w:val="24"/>
        </w:rPr>
      </w:pPr>
      <w:r>
        <w:rPr>
          <w:rFonts w:ascii="黑体" w:eastAsia="黑体" w:hAnsi="黑体" w:hint="eastAsia"/>
          <w:sz w:val="24"/>
          <w:szCs w:val="24"/>
        </w:rPr>
        <w:t>进德</w:t>
      </w:r>
      <w:r w:rsidR="005C37B4">
        <w:rPr>
          <w:rFonts w:ascii="黑体" w:eastAsia="黑体" w:hAnsi="黑体" w:hint="eastAsia"/>
          <w:sz w:val="24"/>
          <w:szCs w:val="24"/>
        </w:rPr>
        <w:t>镇龙新村属于“集聚提升类村庄”。</w:t>
      </w:r>
    </w:p>
    <w:p w:rsidR="00557117" w:rsidRDefault="005C37B4">
      <w:pPr>
        <w:rPr>
          <w:rFonts w:ascii="黑体" w:eastAsia="黑体" w:hAnsi="黑体"/>
          <w:sz w:val="24"/>
          <w:szCs w:val="24"/>
        </w:rPr>
      </w:pPr>
      <w:r>
        <w:rPr>
          <w:rFonts w:ascii="黑体" w:eastAsia="黑体" w:hAnsi="黑体" w:hint="eastAsia"/>
          <w:sz w:val="24"/>
          <w:szCs w:val="24"/>
        </w:rPr>
        <w:t>五、规划定位</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基于“一村一品”的发展构想，龙新村作为集聚提升类村庄，规划根据龙新村农业基础较好，具备一定旅游资源和基础的情况，结合上位规划分析，将龙新村定位为：以果蔬、花卉为特色的近郊</w:t>
      </w:r>
      <w:proofErr w:type="gramStart"/>
      <w:r>
        <w:rPr>
          <w:rFonts w:ascii="黑体" w:eastAsia="黑体" w:hAnsi="黑体" w:hint="eastAsia"/>
          <w:sz w:val="24"/>
          <w:szCs w:val="24"/>
        </w:rPr>
        <w:t>农旅结合</w:t>
      </w:r>
      <w:proofErr w:type="gramEnd"/>
      <w:r>
        <w:rPr>
          <w:rFonts w:ascii="黑体" w:eastAsia="黑体" w:hAnsi="黑体" w:hint="eastAsia"/>
          <w:sz w:val="24"/>
          <w:szCs w:val="24"/>
        </w:rPr>
        <w:t>村庄。</w:t>
      </w:r>
    </w:p>
    <w:p w:rsidR="00557117" w:rsidRDefault="005C37B4">
      <w:pPr>
        <w:rPr>
          <w:rFonts w:ascii="黑体" w:eastAsia="黑体" w:hAnsi="黑体"/>
          <w:sz w:val="24"/>
          <w:szCs w:val="24"/>
        </w:rPr>
      </w:pPr>
      <w:r>
        <w:rPr>
          <w:rFonts w:ascii="黑体" w:eastAsia="黑体" w:hAnsi="黑体" w:hint="eastAsia"/>
          <w:sz w:val="24"/>
          <w:szCs w:val="24"/>
        </w:rPr>
        <w:t>六、产业发展规划</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1、产业体系</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第一产业：生态农业——以火龙果为特色，葡萄和莲藕为主体，蔬菜和其他种植类为辅的农业生产。</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第二产业：加工业——村庄东侧的采矿业、中部 的工业（家具加工厂）等。</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第三产业：服务业——以桃花路、桃花岛等旅游景点为代表的旅游业。</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2、产业布局规划</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 xml:space="preserve">根据村庄定位和策略，结合村庄现状情况，规划村庄空间布局为一轴一带两核多节点，并划分了生态、生活、生产空间。 </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 xml:space="preserve">一轴：村庄的主要发展轴，位于村庄南部东西走向，沿柳江区公路一线，是村庄的主要对外交 通道路，也是乡村旅游的主要道路。 </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 xml:space="preserve">一带：村庄生活带，围绕村庄中部山体并串联各个村屯，为村庄主要生活区域。 </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两核：分别是村庄两处旅游核心，一处为于中部山体，一处</w:t>
      </w:r>
      <w:proofErr w:type="gramStart"/>
      <w:r>
        <w:rPr>
          <w:rFonts w:ascii="黑体" w:eastAsia="黑体" w:hAnsi="黑体" w:hint="eastAsia"/>
          <w:sz w:val="24"/>
          <w:szCs w:val="24"/>
        </w:rPr>
        <w:t>位于良四老村</w:t>
      </w:r>
      <w:proofErr w:type="gramEnd"/>
      <w:r>
        <w:rPr>
          <w:rFonts w:ascii="黑体" w:eastAsia="黑体" w:hAnsi="黑体" w:hint="eastAsia"/>
          <w:sz w:val="24"/>
          <w:szCs w:val="24"/>
        </w:rPr>
        <w:t>，</w:t>
      </w:r>
      <w:r>
        <w:rPr>
          <w:rFonts w:ascii="黑体" w:eastAsia="黑体" w:hAnsi="黑体" w:hint="eastAsia"/>
          <w:sz w:val="24"/>
          <w:szCs w:val="24"/>
        </w:rPr>
        <w:lastRenderedPageBreak/>
        <w:t xml:space="preserve">是村庄旅游的核心景点。 </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 xml:space="preserve">多节点：分别为两个公共服务设施节点和四个旅游节点。两处公共服务设施节点中一处位于村委，包含政务服务和医疗，教育等；另外一处为于龙佃屯，包含篮球场、文化活动室等。 </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规划村庄主要生态空间有两处，一处位于中部山体，一处位于南部山体；生活空间主要为散落于村庄内的各村屯；生产空间为村中的农田、矿山等。</w:t>
      </w:r>
    </w:p>
    <w:p w:rsidR="00557117" w:rsidRDefault="005C37B4">
      <w:pPr>
        <w:rPr>
          <w:rFonts w:ascii="黑体" w:eastAsia="黑体" w:hAnsi="黑体"/>
          <w:sz w:val="24"/>
          <w:szCs w:val="24"/>
        </w:rPr>
      </w:pPr>
      <w:r>
        <w:rPr>
          <w:rFonts w:ascii="黑体" w:eastAsia="黑体" w:hAnsi="黑体" w:hint="eastAsia"/>
          <w:sz w:val="24"/>
          <w:szCs w:val="24"/>
        </w:rPr>
        <w:t>七、国土空间用地布局规划及指标控制</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 xml:space="preserve">1、农用地布局 </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 xml:space="preserve">规划到2035年龙新村的农用地面积为553.38公顷，包括耕地293.45公顷，园地2.86公顷，林地236.56，草地20.52公顷。耕地的数量得到补充，耕地集中连片程度得到提升。 </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 xml:space="preserve">2、建设用地 </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 xml:space="preserve">规划到2035年龙新村的建设用地面积为58.33公顷，包括乡村道路用地6.03公顷，农村宅基地31.27公顷，农村社区服务设施用地1.28公顷，教育用地1.29公顷，农业设施建设用地2.37公顷，商业服务业用地9.96公顷，工矿用地4.91公顷，仓储用地1.22公顷。乡村建设用地结构进一步优化。 </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 xml:space="preserve">3、其他用地 </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 xml:space="preserve">规划到 2035 </w:t>
      </w:r>
      <w:proofErr w:type="gramStart"/>
      <w:r>
        <w:rPr>
          <w:rFonts w:ascii="黑体" w:eastAsia="黑体" w:hAnsi="黑体" w:hint="eastAsia"/>
          <w:sz w:val="24"/>
          <w:szCs w:val="24"/>
        </w:rPr>
        <w:t>年龙新村</w:t>
      </w:r>
      <w:proofErr w:type="gramEnd"/>
      <w:r>
        <w:rPr>
          <w:rFonts w:ascii="黑体" w:eastAsia="黑体" w:hAnsi="黑体" w:hint="eastAsia"/>
          <w:sz w:val="24"/>
          <w:szCs w:val="24"/>
        </w:rPr>
        <w:t>其他土地面积3.80公顷。</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4、耕地保有量和永久基本农田保护目标</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规划龙新村至</w:t>
      </w:r>
      <w:r>
        <w:rPr>
          <w:rFonts w:ascii="黑体" w:eastAsia="黑体" w:hAnsi="黑体"/>
          <w:sz w:val="24"/>
          <w:szCs w:val="24"/>
        </w:rPr>
        <w:t>2035</w:t>
      </w:r>
      <w:r>
        <w:rPr>
          <w:rFonts w:ascii="黑体" w:eastAsia="黑体" w:hAnsi="黑体" w:hint="eastAsia"/>
          <w:sz w:val="24"/>
          <w:szCs w:val="24"/>
        </w:rPr>
        <w:t>年耕地保有量不低于293.45公顷。规划龙新村至</w:t>
      </w:r>
      <w:r>
        <w:rPr>
          <w:rFonts w:ascii="黑体" w:eastAsia="黑体" w:hAnsi="黑体"/>
          <w:sz w:val="24"/>
          <w:szCs w:val="24"/>
        </w:rPr>
        <w:t>2035</w:t>
      </w:r>
      <w:r>
        <w:rPr>
          <w:rFonts w:ascii="黑体" w:eastAsia="黑体" w:hAnsi="黑体" w:hint="eastAsia"/>
          <w:sz w:val="24"/>
          <w:szCs w:val="24"/>
        </w:rPr>
        <w:t>年永久基本农田保护面积不低于273.71公顷。</w:t>
      </w:r>
    </w:p>
    <w:p w:rsidR="00557117" w:rsidRDefault="005C37B4">
      <w:pPr>
        <w:numPr>
          <w:ilvl w:val="0"/>
          <w:numId w:val="1"/>
        </w:numPr>
        <w:ind w:firstLineChars="200" w:firstLine="480"/>
        <w:rPr>
          <w:rFonts w:ascii="黑体" w:eastAsia="黑体" w:hAnsi="黑体"/>
          <w:sz w:val="24"/>
          <w:szCs w:val="24"/>
        </w:rPr>
      </w:pPr>
      <w:r>
        <w:rPr>
          <w:rFonts w:ascii="黑体" w:eastAsia="黑体" w:hAnsi="黑体" w:hint="eastAsia"/>
          <w:sz w:val="24"/>
          <w:szCs w:val="24"/>
        </w:rPr>
        <w:t>生态保护红</w:t>
      </w:r>
      <w:proofErr w:type="gramStart"/>
      <w:r>
        <w:rPr>
          <w:rFonts w:ascii="黑体" w:eastAsia="黑体" w:hAnsi="黑体" w:hint="eastAsia"/>
          <w:sz w:val="24"/>
          <w:szCs w:val="24"/>
        </w:rPr>
        <w:t>线规模</w:t>
      </w:r>
      <w:proofErr w:type="gramEnd"/>
      <w:r>
        <w:rPr>
          <w:rFonts w:ascii="黑体" w:eastAsia="黑体" w:hAnsi="黑体" w:hint="eastAsia"/>
          <w:sz w:val="24"/>
          <w:szCs w:val="24"/>
        </w:rPr>
        <w:t>控制目标</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根据自治区自然资源厅下发的柳江区生态保护红线划定最新数据库成果，可知柳州市柳江区龙新村没有涉及生态保护红线。</w:t>
      </w:r>
    </w:p>
    <w:p w:rsidR="00557117" w:rsidRDefault="005C37B4">
      <w:pPr>
        <w:ind w:firstLineChars="200" w:firstLine="480"/>
        <w:rPr>
          <w:rFonts w:ascii="黑体" w:eastAsia="黑体" w:hAnsi="黑体"/>
          <w:sz w:val="24"/>
          <w:szCs w:val="24"/>
        </w:rPr>
      </w:pPr>
      <w:r>
        <w:rPr>
          <w:rFonts w:ascii="黑体" w:eastAsia="黑体" w:hAnsi="黑体" w:hint="eastAsia"/>
          <w:sz w:val="24"/>
          <w:szCs w:val="24"/>
        </w:rPr>
        <w:t>6、机动建设用地指标</w:t>
      </w:r>
    </w:p>
    <w:p w:rsidR="00557117" w:rsidRDefault="005C37B4">
      <w:pPr>
        <w:widowControl/>
        <w:jc w:val="left"/>
        <w:rPr>
          <w:rFonts w:ascii="黑体" w:eastAsia="黑体" w:hAnsi="黑体"/>
          <w:sz w:val="24"/>
          <w:szCs w:val="24"/>
        </w:rPr>
      </w:pPr>
      <w:r>
        <w:rPr>
          <w:rFonts w:ascii="黑体" w:eastAsia="黑体" w:hAnsi="黑体" w:hint="eastAsia"/>
          <w:sz w:val="24"/>
          <w:szCs w:val="24"/>
        </w:rPr>
        <w:t>根据《广西壮族自治区村庄规划编制技术导则（试行）》要求，预留</w:t>
      </w:r>
      <w:r>
        <w:rPr>
          <w:rFonts w:ascii="Calibri" w:eastAsia="宋体" w:hAnsi="Calibri" w:cs="Calibri"/>
          <w:color w:val="000000"/>
          <w:kern w:val="0"/>
          <w:sz w:val="24"/>
          <w:szCs w:val="24"/>
        </w:rPr>
        <w:t>6.51</w:t>
      </w:r>
      <w:r>
        <w:rPr>
          <w:rFonts w:ascii="黑体" w:eastAsia="黑体" w:hAnsi="黑体" w:hint="eastAsia"/>
          <w:sz w:val="24"/>
          <w:szCs w:val="24"/>
        </w:rPr>
        <w:t>公顷（占乡村建设用地总规模</w:t>
      </w:r>
      <w:r>
        <w:rPr>
          <w:rFonts w:ascii="黑体" w:eastAsia="黑体" w:hAnsi="黑体"/>
          <w:sz w:val="24"/>
          <w:szCs w:val="24"/>
        </w:rPr>
        <w:t xml:space="preserve">5% </w:t>
      </w:r>
      <w:r>
        <w:rPr>
          <w:rFonts w:ascii="黑体" w:eastAsia="黑体" w:hAnsi="黑体" w:hint="eastAsia"/>
          <w:sz w:val="24"/>
          <w:szCs w:val="24"/>
        </w:rPr>
        <w:t>）机动建设用地指标，建议结合增减挂钩项目需腾退相应潜力用地进行复垦后，调整使用相应数量的预留机动建设用地指标。</w:t>
      </w:r>
    </w:p>
    <w:p w:rsidR="00557117" w:rsidRDefault="00557117">
      <w:pPr>
        <w:rPr>
          <w:rFonts w:ascii="黑体" w:eastAsia="黑体" w:hAnsi="黑体"/>
          <w:b/>
          <w:bCs/>
          <w:sz w:val="24"/>
          <w:szCs w:val="24"/>
        </w:rPr>
      </w:pPr>
    </w:p>
    <w:p w:rsidR="00557117" w:rsidRDefault="005C37B4">
      <w:r>
        <w:t>附</w:t>
      </w:r>
      <w:r>
        <w:rPr>
          <w:rFonts w:hint="eastAsia"/>
        </w:rPr>
        <w:t>表：</w:t>
      </w:r>
    </w:p>
    <w:p w:rsidR="00557117" w:rsidRDefault="005C37B4">
      <w:pPr>
        <w:jc w:val="center"/>
        <w:rPr>
          <w:rFonts w:ascii="黑体" w:eastAsia="黑体" w:hAnsi="黑体"/>
          <w:sz w:val="24"/>
          <w:szCs w:val="24"/>
        </w:rPr>
      </w:pPr>
      <w:r>
        <w:rPr>
          <w:rFonts w:ascii="黑体" w:eastAsia="黑体" w:hAnsi="黑体" w:hint="eastAsia"/>
          <w:b/>
          <w:bCs/>
          <w:sz w:val="24"/>
          <w:szCs w:val="24"/>
        </w:rPr>
        <w:t>村庄土地利用结构调整表</w:t>
      </w:r>
    </w:p>
    <w:tbl>
      <w:tblPr>
        <w:tblpPr w:leftFromText="180" w:rightFromText="180" w:vertAnchor="text" w:horzAnchor="page" w:tblpX="1779" w:tblpY="360"/>
        <w:tblOverlap w:val="never"/>
        <w:tblW w:w="9470" w:type="dxa"/>
        <w:tblLayout w:type="fixed"/>
        <w:tblLook w:val="04A0"/>
      </w:tblPr>
      <w:tblGrid>
        <w:gridCol w:w="648"/>
        <w:gridCol w:w="452"/>
        <w:gridCol w:w="825"/>
        <w:gridCol w:w="720"/>
        <w:gridCol w:w="1095"/>
        <w:gridCol w:w="915"/>
        <w:gridCol w:w="930"/>
        <w:gridCol w:w="930"/>
        <w:gridCol w:w="885"/>
        <w:gridCol w:w="1065"/>
        <w:gridCol w:w="1005"/>
      </w:tblGrid>
      <w:tr w:rsidR="00557117">
        <w:trPr>
          <w:trHeight w:val="285"/>
        </w:trPr>
        <w:tc>
          <w:tcPr>
            <w:tcW w:w="6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大类名称</w:t>
            </w:r>
          </w:p>
        </w:tc>
        <w:tc>
          <w:tcPr>
            <w:tcW w:w="45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小类名称</w:t>
            </w:r>
          </w:p>
        </w:tc>
        <w:tc>
          <w:tcPr>
            <w:tcW w:w="8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一级类名称</w:t>
            </w:r>
          </w:p>
        </w:tc>
        <w:tc>
          <w:tcPr>
            <w:tcW w:w="7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二级类名称</w:t>
            </w:r>
          </w:p>
        </w:tc>
        <w:tc>
          <w:tcPr>
            <w:tcW w:w="10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三级类名称</w:t>
            </w:r>
          </w:p>
        </w:tc>
        <w:tc>
          <w:tcPr>
            <w:tcW w:w="184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基期年（2019）</w:t>
            </w:r>
          </w:p>
        </w:tc>
        <w:tc>
          <w:tcPr>
            <w:tcW w:w="181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规划目标年（2035）</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规划期间面积增减</w:t>
            </w:r>
          </w:p>
        </w:tc>
      </w:tr>
      <w:tr w:rsidR="00557117">
        <w:trPr>
          <w:trHeight w:val="555"/>
        </w:trPr>
        <w:tc>
          <w:tcPr>
            <w:tcW w:w="6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b/>
                <w:bCs/>
                <w:color w:val="000000"/>
                <w:sz w:val="22"/>
              </w:rPr>
            </w:pPr>
          </w:p>
        </w:tc>
        <w:tc>
          <w:tcPr>
            <w:tcW w:w="4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b/>
                <w:bCs/>
                <w:color w:val="000000"/>
                <w:sz w:val="22"/>
              </w:rPr>
            </w:pPr>
          </w:p>
        </w:tc>
        <w:tc>
          <w:tcPr>
            <w:tcW w:w="82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b/>
                <w:bCs/>
                <w:color w:val="000000"/>
                <w:sz w:val="22"/>
              </w:rPr>
            </w:pPr>
          </w:p>
        </w:tc>
        <w:tc>
          <w:tcPr>
            <w:tcW w:w="7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b/>
                <w:bCs/>
                <w:color w:val="000000"/>
                <w:sz w:val="22"/>
              </w:rPr>
            </w:pPr>
          </w:p>
        </w:tc>
        <w:tc>
          <w:tcPr>
            <w:tcW w:w="109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b/>
                <w:bCs/>
                <w:color w:val="000000"/>
                <w:sz w:val="22"/>
              </w:rPr>
            </w:pP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面积</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比重（%）</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面积</w:t>
            </w:r>
          </w:p>
        </w:tc>
        <w:tc>
          <w:tcPr>
            <w:tcW w:w="8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比重（%）</w:t>
            </w:r>
          </w:p>
        </w:tc>
        <w:tc>
          <w:tcPr>
            <w:tcW w:w="106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面积</w:t>
            </w:r>
          </w:p>
        </w:tc>
        <w:tc>
          <w:tcPr>
            <w:tcW w:w="10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b/>
                <w:bCs/>
                <w:color w:val="000000"/>
                <w:sz w:val="22"/>
              </w:rPr>
            </w:pPr>
            <w:r>
              <w:rPr>
                <w:rFonts w:ascii="黑体" w:eastAsia="黑体" w:hAnsi="宋体" w:cs="黑体" w:hint="eastAsia"/>
                <w:b/>
                <w:bCs/>
                <w:color w:val="000000"/>
                <w:kern w:val="0"/>
                <w:sz w:val="22"/>
              </w:rPr>
              <w:t>比重（%）</w:t>
            </w:r>
          </w:p>
        </w:tc>
      </w:tr>
      <w:tr w:rsidR="00557117">
        <w:trPr>
          <w:trHeight w:val="285"/>
        </w:trPr>
        <w:tc>
          <w:tcPr>
            <w:tcW w:w="648" w:type="dxa"/>
            <w:vMerge w:val="restart"/>
            <w:tcBorders>
              <w:top w:val="nil"/>
              <w:left w:val="single" w:sz="8" w:space="0" w:color="000000"/>
              <w:right w:val="single" w:sz="8" w:space="0" w:color="000000"/>
            </w:tcBorders>
            <w:shd w:val="clear" w:color="auto" w:fill="auto"/>
            <w:vAlign w:val="center"/>
          </w:tcPr>
          <w:p w:rsidR="00557117" w:rsidRDefault="005C37B4">
            <w:pPr>
              <w:jc w:val="center"/>
              <w:rPr>
                <w:rFonts w:ascii="黑体" w:eastAsia="黑体" w:hAnsi="宋体" w:cs="黑体"/>
                <w:color w:val="000000"/>
                <w:sz w:val="22"/>
              </w:rPr>
            </w:pPr>
            <w:r>
              <w:rPr>
                <w:rFonts w:ascii="黑体" w:eastAsia="黑体" w:hAnsi="宋体" w:cs="黑体" w:hint="eastAsia"/>
                <w:color w:val="000000"/>
                <w:sz w:val="22"/>
              </w:rPr>
              <w:t>农用地</w:t>
            </w: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耕地</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水田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159.86</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23.16%</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158.76</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23.00%</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-1.10</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-0.16%</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旱地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74.66</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10.81%</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134.69</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19.51%</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60.02</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8.69%</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园地</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果园</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40.54</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5.87%</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2.77</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0.40%</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-37.77</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-5.47%</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其他园地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0.33</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0.05%</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0.09</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-0.24</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-0.03%</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林地</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乔木林地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36.33</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5.26%</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20.59</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2.98%</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-15.74</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-2.28%</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竹林</w:t>
            </w:r>
            <w:r>
              <w:rPr>
                <w:rFonts w:ascii="黑体" w:eastAsia="黑体" w:hAnsi="宋体" w:cs="黑体" w:hint="eastAsia"/>
                <w:color w:val="000000"/>
                <w:kern w:val="0"/>
                <w:sz w:val="22"/>
              </w:rPr>
              <w:lastRenderedPageBreak/>
              <w:t>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lastRenderedPageBreak/>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7.44</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1.08%</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6.20</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0.90%</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-1.24</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-0.18%</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灌木林地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234.23</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33.93%</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205.79</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29.81%</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-28.45</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-4.12%</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其他林地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15.92</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2.31%</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3.98</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0.58%</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-11.95</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-1.73%</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草地</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其他草地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3.05</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0.44%</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4.85</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0.70%</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1.79</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0.26%</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坑塘水面</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8.84</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1.28%</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4.45</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0.65%</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-4.38</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-0.63%</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沟渠</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8.89</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1.29%</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5.11</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0.74%</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-3.78</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-0.55%</w:t>
            </w:r>
          </w:p>
        </w:tc>
      </w:tr>
      <w:tr w:rsidR="00557117">
        <w:trPr>
          <w:trHeight w:val="285"/>
        </w:trPr>
        <w:tc>
          <w:tcPr>
            <w:tcW w:w="648" w:type="dxa"/>
            <w:vMerge/>
            <w:tcBorders>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proofErr w:type="gramStart"/>
            <w:r>
              <w:rPr>
                <w:rFonts w:ascii="黑体" w:eastAsia="黑体" w:hAnsi="宋体" w:cs="黑体" w:hint="eastAsia"/>
                <w:color w:val="000000"/>
                <w:kern w:val="0"/>
                <w:sz w:val="22"/>
              </w:rPr>
              <w:t>田间道</w:t>
            </w:r>
            <w:proofErr w:type="gramEnd"/>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5.43</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0.79%</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6.11</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0.88%</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0.68</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0.10%</w:t>
            </w:r>
          </w:p>
        </w:tc>
      </w:tr>
      <w:tr w:rsidR="00557117">
        <w:trPr>
          <w:trHeight w:val="555"/>
        </w:trPr>
        <w:tc>
          <w:tcPr>
            <w:tcW w:w="648" w:type="dxa"/>
            <w:vMerge w:val="restart"/>
            <w:tcBorders>
              <w:top w:val="nil"/>
              <w:left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乡村建设用地</w:t>
            </w: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vMerge w:val="restart"/>
            <w:tcBorders>
              <w:top w:val="nil"/>
              <w:left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乡村道路用地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村庄内部道路用地</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0.92</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0.13%</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1.02</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0.15%</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0.10</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r>
      <w:tr w:rsidR="00557117">
        <w:trPr>
          <w:trHeight w:val="555"/>
        </w:trPr>
        <w:tc>
          <w:tcPr>
            <w:tcW w:w="648" w:type="dxa"/>
            <w:vMerge/>
            <w:tcBorders>
              <w:left w:val="single" w:sz="8" w:space="0" w:color="000000"/>
              <w:right w:val="single" w:sz="8" w:space="0" w:color="000000"/>
            </w:tcBorders>
            <w:shd w:val="clear" w:color="auto" w:fill="auto"/>
            <w:vAlign w:val="center"/>
          </w:tcPr>
          <w:p w:rsidR="00557117" w:rsidRDefault="00557117">
            <w:pPr>
              <w:widowControl/>
              <w:jc w:val="center"/>
              <w:textAlignment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720" w:type="dxa"/>
            <w:vMerge/>
            <w:tcBorders>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村道用地</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2.56</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0.37%</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5.01</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0.73%</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2.45</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0.36%</w:t>
            </w:r>
          </w:p>
        </w:tc>
      </w:tr>
      <w:tr w:rsidR="00557117">
        <w:trPr>
          <w:trHeight w:val="55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农村宅基地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一类农村宅基地</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40.37</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5.85%</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31.27</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4.53%</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-9.10</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-1.32%</w:t>
            </w:r>
          </w:p>
        </w:tc>
      </w:tr>
      <w:tr w:rsidR="00557117">
        <w:trPr>
          <w:trHeight w:val="82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农村社区服务设施用地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0.84</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0.12%</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1.28</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0.19%</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0.44</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0.06%</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教育用地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中小学用地</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1.04</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0.15%</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1.29</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0.19%</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0.25</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0.04%</w:t>
            </w:r>
          </w:p>
        </w:tc>
      </w:tr>
      <w:tr w:rsidR="00557117">
        <w:trPr>
          <w:trHeight w:val="55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乡村产业用地</w:t>
            </w:r>
          </w:p>
        </w:tc>
        <w:tc>
          <w:tcPr>
            <w:tcW w:w="825" w:type="dxa"/>
            <w:vMerge w:val="restart"/>
            <w:tcBorders>
              <w:top w:val="nil"/>
              <w:left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农业设施建设用地</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种植设施建设用地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1.15</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0.17%</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1.14</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0.17%</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r>
      <w:tr w:rsidR="00557117">
        <w:trPr>
          <w:trHeight w:val="82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825"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畜禽养殖设施建设用地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0.15</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0.02%</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1.05</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0.15%</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0.91</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0.13%</w:t>
            </w:r>
          </w:p>
        </w:tc>
      </w:tr>
      <w:tr w:rsidR="00557117">
        <w:trPr>
          <w:trHeight w:val="82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825" w:type="dxa"/>
            <w:vMerge/>
            <w:tcBorders>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水产养殖设施建设用地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1.09</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0.16%</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0.18</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0.03%</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-0.91</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-0.13%</w:t>
            </w:r>
          </w:p>
        </w:tc>
      </w:tr>
      <w:tr w:rsidR="00557117">
        <w:trPr>
          <w:trHeight w:val="109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825" w:type="dxa"/>
            <w:vMerge w:val="restart"/>
            <w:tcBorders>
              <w:top w:val="nil"/>
              <w:left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商业服务业用地(农村部分)</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商业用地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零售商业用地</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0.69</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0.10%</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0.67</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0.10%</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r>
      <w:tr w:rsidR="00557117">
        <w:trPr>
          <w:trHeight w:val="55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825" w:type="dxa"/>
            <w:vMerge/>
            <w:tcBorders>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娱乐康体用地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娱乐用地</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9.29</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1.35%</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9.29</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1.35%</w:t>
            </w:r>
          </w:p>
        </w:tc>
      </w:tr>
      <w:tr w:rsidR="00557117">
        <w:trPr>
          <w:trHeight w:val="55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825" w:type="dxa"/>
            <w:vMerge w:val="restart"/>
            <w:tcBorders>
              <w:top w:val="nil"/>
              <w:left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工矿用地</w:t>
            </w:r>
          </w:p>
        </w:tc>
        <w:tc>
          <w:tcPr>
            <w:tcW w:w="720" w:type="dxa"/>
            <w:vMerge w:val="restart"/>
            <w:tcBorders>
              <w:top w:val="nil"/>
              <w:left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工业用地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二类工业用地</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1.16</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0.17%</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1.13</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0.16%</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-0.03</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r>
      <w:tr w:rsidR="00557117">
        <w:trPr>
          <w:trHeight w:val="55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825" w:type="dxa"/>
            <w:vMerge/>
            <w:tcBorders>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vMerge/>
            <w:tcBorders>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三类工业用地</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3.34</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0.48%</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3.78</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0.55%</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0.44</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0.06%</w:t>
            </w:r>
          </w:p>
        </w:tc>
      </w:tr>
      <w:tr w:rsidR="00557117">
        <w:trPr>
          <w:trHeight w:val="555"/>
        </w:trPr>
        <w:tc>
          <w:tcPr>
            <w:tcW w:w="648" w:type="dxa"/>
            <w:vMerge/>
            <w:tcBorders>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仓储用地</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物流仓储用地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一类物流仓储用地</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1.29</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0.19%</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1.22</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0.18%</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-0.06</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r>
      <w:tr w:rsidR="00557117">
        <w:trPr>
          <w:trHeight w:val="1903"/>
        </w:trPr>
        <w:tc>
          <w:tcPr>
            <w:tcW w:w="648"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区域交通运输用地</w:t>
            </w: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交通运输用地</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公路用地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1.75</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0.25%</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3.09</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0.45%</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1.34</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0.19%</w:t>
            </w:r>
          </w:p>
        </w:tc>
      </w:tr>
      <w:tr w:rsidR="00557117">
        <w:trPr>
          <w:trHeight w:val="555"/>
        </w:trPr>
        <w:tc>
          <w:tcPr>
            <w:tcW w:w="648"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区域公用设施用地</w:t>
            </w: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公用设施用地</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供水用地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0.12</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0.02%</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0.11</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0.02%</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r>
      <w:tr w:rsidR="00557117">
        <w:trPr>
          <w:trHeight w:val="555"/>
        </w:trPr>
        <w:tc>
          <w:tcPr>
            <w:tcW w:w="648" w:type="dxa"/>
            <w:vMerge w:val="restart"/>
            <w:tcBorders>
              <w:top w:val="nil"/>
              <w:left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其他建设用地</w:t>
            </w: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特殊用地</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宗教用地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0.04</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0.04</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殡葬用地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0.15</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0.02%</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0.14</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0.02%</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r>
      <w:tr w:rsidR="00557117">
        <w:trPr>
          <w:trHeight w:val="285"/>
        </w:trPr>
        <w:tc>
          <w:tcPr>
            <w:tcW w:w="648" w:type="dxa"/>
            <w:vMerge/>
            <w:tcBorders>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工矿用地</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采矿用地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38.07</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5.51%</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71.49</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10.35%</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33.42</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4.84%</w:t>
            </w:r>
          </w:p>
        </w:tc>
      </w:tr>
      <w:tr w:rsidR="00557117">
        <w:trPr>
          <w:trHeight w:val="285"/>
        </w:trPr>
        <w:tc>
          <w:tcPr>
            <w:tcW w:w="648" w:type="dxa"/>
            <w:vMerge w:val="restart"/>
            <w:tcBorders>
              <w:top w:val="nil"/>
              <w:left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其他土地</w:t>
            </w: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陆地水域</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河流水面</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3.74</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0.54%</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3.74</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0.54%</w:t>
            </w:r>
          </w:p>
        </w:tc>
      </w:tr>
      <w:tr w:rsidR="00557117">
        <w:trPr>
          <w:trHeight w:val="285"/>
        </w:trPr>
        <w:tc>
          <w:tcPr>
            <w:tcW w:w="648" w:type="dxa"/>
            <w:vMerge/>
            <w:tcBorders>
              <w:left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其他土地</w:t>
            </w: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proofErr w:type="gramStart"/>
            <w:r>
              <w:rPr>
                <w:rFonts w:ascii="黑体" w:eastAsia="黑体" w:hAnsi="宋体" w:cs="黑体" w:hint="eastAsia"/>
                <w:color w:val="000000"/>
                <w:kern w:val="0"/>
                <w:sz w:val="22"/>
              </w:rPr>
              <w:t>裸</w:t>
            </w:r>
            <w:proofErr w:type="gramEnd"/>
            <w:r>
              <w:rPr>
                <w:rFonts w:ascii="黑体" w:eastAsia="黑体" w:hAnsi="宋体" w:cs="黑体" w:hint="eastAsia"/>
                <w:color w:val="000000"/>
                <w:kern w:val="0"/>
                <w:sz w:val="22"/>
              </w:rPr>
              <w:t>土地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0.10</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-0.10</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r>
      <w:tr w:rsidR="00557117">
        <w:trPr>
          <w:trHeight w:val="555"/>
        </w:trPr>
        <w:tc>
          <w:tcPr>
            <w:tcW w:w="648" w:type="dxa"/>
            <w:vMerge/>
            <w:tcBorders>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裸岩石砾地</w:t>
            </w: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w:t>
            </w: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0.06</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0.06</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r>
      <w:tr w:rsidR="00557117">
        <w:trPr>
          <w:trHeight w:val="285"/>
        </w:trPr>
        <w:tc>
          <w:tcPr>
            <w:tcW w:w="648"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合</w:t>
            </w:r>
            <w:r>
              <w:rPr>
                <w:rFonts w:ascii="黑体" w:eastAsia="黑体" w:hAnsi="宋体" w:cs="黑体" w:hint="eastAsia"/>
                <w:color w:val="000000"/>
                <w:kern w:val="0"/>
                <w:sz w:val="22"/>
              </w:rPr>
              <w:lastRenderedPageBreak/>
              <w:t>计</w:t>
            </w:r>
          </w:p>
        </w:tc>
        <w:tc>
          <w:tcPr>
            <w:tcW w:w="452"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82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720"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1095" w:type="dxa"/>
            <w:tcBorders>
              <w:top w:val="nil"/>
              <w:left w:val="single" w:sz="8" w:space="0" w:color="000000"/>
              <w:bottom w:val="single" w:sz="8" w:space="0" w:color="000000"/>
              <w:right w:val="single" w:sz="8" w:space="0" w:color="000000"/>
            </w:tcBorders>
            <w:shd w:val="clear" w:color="auto" w:fill="auto"/>
            <w:vAlign w:val="center"/>
          </w:tcPr>
          <w:p w:rsidR="00557117" w:rsidRDefault="00557117">
            <w:pPr>
              <w:jc w:val="center"/>
              <w:rPr>
                <w:rFonts w:ascii="黑体" w:eastAsia="黑体" w:hAnsi="宋体" w:cs="黑体"/>
                <w:color w:val="000000"/>
                <w:sz w:val="22"/>
              </w:rPr>
            </w:pPr>
          </w:p>
        </w:tc>
        <w:tc>
          <w:tcPr>
            <w:tcW w:w="91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690.39</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100%</w:t>
            </w:r>
          </w:p>
        </w:tc>
        <w:tc>
          <w:tcPr>
            <w:tcW w:w="930"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690.39</w:t>
            </w:r>
          </w:p>
        </w:tc>
        <w:tc>
          <w:tcPr>
            <w:tcW w:w="88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100%</w:t>
            </w:r>
          </w:p>
        </w:tc>
        <w:tc>
          <w:tcPr>
            <w:tcW w:w="106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0.00</w:t>
            </w:r>
          </w:p>
        </w:tc>
        <w:tc>
          <w:tcPr>
            <w:tcW w:w="1005" w:type="dxa"/>
            <w:tcBorders>
              <w:top w:val="nil"/>
              <w:left w:val="single" w:sz="8" w:space="0" w:color="000000"/>
              <w:bottom w:val="single" w:sz="8" w:space="0" w:color="000000"/>
              <w:right w:val="single" w:sz="8" w:space="0" w:color="000000"/>
            </w:tcBorders>
            <w:shd w:val="clear" w:color="auto" w:fill="auto"/>
            <w:vAlign w:val="center"/>
          </w:tcPr>
          <w:p w:rsidR="00557117" w:rsidRDefault="005C37B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rPr>
              <w:t>0.01%</w:t>
            </w:r>
          </w:p>
        </w:tc>
      </w:tr>
    </w:tbl>
    <w:p w:rsidR="00557117" w:rsidRDefault="00557117">
      <w:pPr>
        <w:rPr>
          <w:rFonts w:ascii="黑体" w:eastAsia="黑体" w:hAnsi="黑体"/>
          <w:sz w:val="24"/>
          <w:szCs w:val="24"/>
        </w:rPr>
      </w:pPr>
    </w:p>
    <w:p w:rsidR="00557117" w:rsidRDefault="00557117">
      <w:pPr>
        <w:rPr>
          <w:rFonts w:ascii="黑体" w:eastAsia="黑体" w:hAnsi="黑体"/>
          <w:sz w:val="24"/>
          <w:szCs w:val="24"/>
        </w:rPr>
      </w:pPr>
    </w:p>
    <w:p w:rsidR="00557117" w:rsidRDefault="005C37B4">
      <w:pPr>
        <w:jc w:val="center"/>
        <w:rPr>
          <w:rFonts w:ascii="黑体" w:eastAsia="黑体" w:hAnsi="黑体"/>
          <w:sz w:val="24"/>
          <w:szCs w:val="24"/>
        </w:rPr>
      </w:pPr>
      <w:r>
        <w:rPr>
          <w:rFonts w:ascii="黑体" w:eastAsia="黑体" w:hAnsi="黑体" w:hint="eastAsia"/>
          <w:b/>
          <w:bCs/>
          <w:sz w:val="24"/>
          <w:szCs w:val="24"/>
        </w:rPr>
        <w:t>村庄规划主要控制指标表</w:t>
      </w:r>
    </w:p>
    <w:tbl>
      <w:tblPr>
        <w:tblW w:w="4906" w:type="pct"/>
        <w:tblCellMar>
          <w:left w:w="0" w:type="dxa"/>
          <w:right w:w="0" w:type="dxa"/>
        </w:tblCellMar>
        <w:tblLook w:val="04A0"/>
      </w:tblPr>
      <w:tblGrid>
        <w:gridCol w:w="4171"/>
        <w:gridCol w:w="1459"/>
        <w:gridCol w:w="1459"/>
        <w:gridCol w:w="1090"/>
      </w:tblGrid>
      <w:tr w:rsidR="00557117">
        <w:trPr>
          <w:trHeight w:val="871"/>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规划指标</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规划基期年(2019)</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规划目标年(2035)</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属性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永久基本农田保护面积(</w:t>
            </w:r>
            <w:proofErr w:type="gramStart"/>
            <w:r>
              <w:rPr>
                <w:rFonts w:ascii="黑体" w:eastAsia="黑体" w:hAnsi="宋体" w:cs="黑体" w:hint="eastAsia"/>
                <w:color w:val="000000"/>
                <w:kern w:val="0"/>
                <w:sz w:val="24"/>
                <w:szCs w:val="24"/>
              </w:rPr>
              <w:t>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289.18</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273.71</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约束性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生态保护红</w:t>
            </w:r>
            <w:proofErr w:type="gramStart"/>
            <w:r>
              <w:rPr>
                <w:rFonts w:ascii="黑体" w:eastAsia="黑体" w:hAnsi="宋体" w:cs="黑体" w:hint="eastAsia"/>
                <w:color w:val="000000"/>
                <w:kern w:val="0"/>
                <w:sz w:val="24"/>
                <w:szCs w:val="24"/>
              </w:rPr>
              <w:t>线规模(公顷)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0</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0</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约束性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耕地保有量(</w:t>
            </w:r>
            <w:proofErr w:type="gramStart"/>
            <w:r>
              <w:rPr>
                <w:rFonts w:ascii="黑体" w:eastAsia="黑体" w:hAnsi="宋体" w:cs="黑体" w:hint="eastAsia"/>
                <w:color w:val="000000"/>
                <w:kern w:val="0"/>
                <w:sz w:val="24"/>
                <w:szCs w:val="24"/>
              </w:rPr>
              <w:t>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234.53</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293.45</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约束性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林地保有量(</w:t>
            </w:r>
            <w:proofErr w:type="gramStart"/>
            <w:r>
              <w:rPr>
                <w:rFonts w:ascii="黑体" w:eastAsia="黑体" w:hAnsi="宋体" w:cs="黑体" w:hint="eastAsia"/>
                <w:color w:val="000000"/>
                <w:kern w:val="0"/>
                <w:sz w:val="24"/>
                <w:szCs w:val="24"/>
              </w:rPr>
              <w:t>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293.93</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236.56</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约束性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湿地面积(</w:t>
            </w:r>
            <w:proofErr w:type="gramStart"/>
            <w:r>
              <w:rPr>
                <w:rFonts w:ascii="黑体" w:eastAsia="黑体" w:hAnsi="宋体" w:cs="黑体" w:hint="eastAsia"/>
                <w:color w:val="000000"/>
                <w:kern w:val="0"/>
                <w:sz w:val="24"/>
                <w:szCs w:val="24"/>
              </w:rPr>
              <w:t>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0</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0</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约束性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建设用地总面积(</w:t>
            </w:r>
            <w:proofErr w:type="gramStart"/>
            <w:r>
              <w:rPr>
                <w:rFonts w:ascii="黑体" w:eastAsia="黑体" w:hAnsi="宋体" w:cs="黑体" w:hint="eastAsia"/>
                <w:color w:val="000000"/>
                <w:kern w:val="0"/>
                <w:sz w:val="24"/>
                <w:szCs w:val="24"/>
              </w:rPr>
              <w:t>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94.71</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133.22</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约束性</w:t>
            </w:r>
          </w:p>
        </w:tc>
      </w:tr>
      <w:tr w:rsidR="00557117">
        <w:trPr>
          <w:trHeight w:val="565"/>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村庄建设边界内建设用地面积(</w:t>
            </w:r>
            <w:proofErr w:type="gramStart"/>
            <w:r>
              <w:rPr>
                <w:rFonts w:ascii="黑体" w:eastAsia="黑体" w:hAnsi="宋体" w:cs="黑体" w:hint="eastAsia"/>
                <w:color w:val="000000"/>
                <w:kern w:val="0"/>
                <w:sz w:val="24"/>
                <w:szCs w:val="24"/>
              </w:rPr>
              <w:t>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92.97</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130.13</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约束性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农村宅基地面积(</w:t>
            </w:r>
            <w:proofErr w:type="gramStart"/>
            <w:r>
              <w:rPr>
                <w:rFonts w:ascii="黑体" w:eastAsia="黑体" w:hAnsi="宋体" w:cs="黑体" w:hint="eastAsia"/>
                <w:color w:val="000000"/>
                <w:kern w:val="0"/>
                <w:sz w:val="24"/>
                <w:szCs w:val="24"/>
              </w:rPr>
              <w:t>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40.37</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31.27</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约束性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人口规模(人)</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3033</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3050</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预期性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户均宅基地面积(平方米/户)</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530.49</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390.88</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预期性</w:t>
            </w:r>
          </w:p>
        </w:tc>
      </w:tr>
      <w:tr w:rsidR="00557117">
        <w:trPr>
          <w:trHeight w:val="561"/>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农村社区服务设施用地面积(</w:t>
            </w:r>
            <w:proofErr w:type="gramStart"/>
            <w:r>
              <w:rPr>
                <w:rFonts w:ascii="黑体" w:eastAsia="黑体" w:hAnsi="宋体" w:cs="黑体" w:hint="eastAsia"/>
                <w:color w:val="000000"/>
                <w:kern w:val="0"/>
                <w:sz w:val="24"/>
                <w:szCs w:val="24"/>
              </w:rPr>
              <w:t>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0.84</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1.28</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预期性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乡村道路用地面积(</w:t>
            </w:r>
            <w:proofErr w:type="gramStart"/>
            <w:r>
              <w:rPr>
                <w:rFonts w:ascii="黑体" w:eastAsia="黑体" w:hAnsi="宋体" w:cs="黑体" w:hint="eastAsia"/>
                <w:color w:val="000000"/>
                <w:kern w:val="0"/>
                <w:sz w:val="24"/>
                <w:szCs w:val="24"/>
              </w:rPr>
              <w:t>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3.48</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6.03</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预期性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乡村产业用地面积(</w:t>
            </w:r>
            <w:proofErr w:type="gramStart"/>
            <w:r>
              <w:rPr>
                <w:rFonts w:ascii="黑体" w:eastAsia="黑体" w:hAnsi="宋体" w:cs="黑体" w:hint="eastAsia"/>
                <w:color w:val="000000"/>
                <w:kern w:val="0"/>
                <w:sz w:val="24"/>
                <w:szCs w:val="24"/>
              </w:rPr>
              <w:t>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8.87</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9.18</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预期性</w:t>
            </w:r>
          </w:p>
        </w:tc>
      </w:tr>
      <w:tr w:rsidR="00557117">
        <w:trPr>
          <w:trHeight w:val="560"/>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新增建设用地机动指标面积(</w:t>
            </w:r>
            <w:proofErr w:type="gramStart"/>
            <w:r>
              <w:rPr>
                <w:rFonts w:ascii="黑体" w:eastAsia="黑体" w:hAnsi="宋体" w:cs="黑体" w:hint="eastAsia"/>
                <w:color w:val="000000"/>
                <w:kern w:val="0"/>
                <w:sz w:val="24"/>
                <w:szCs w:val="24"/>
              </w:rPr>
              <w:t>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4.65</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6.51</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预期性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建设用地复垦面积(</w:t>
            </w:r>
            <w:proofErr w:type="gramStart"/>
            <w:r>
              <w:rPr>
                <w:rFonts w:ascii="黑体" w:eastAsia="黑体" w:hAnsi="宋体" w:cs="黑体" w:hint="eastAsia"/>
                <w:color w:val="000000"/>
                <w:kern w:val="0"/>
                <w:sz w:val="24"/>
                <w:szCs w:val="24"/>
              </w:rPr>
              <w:t>公顷)</w:t>
            </w:r>
            <w:proofErr w:type="gramEnd"/>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2"/>
              </w:rPr>
              <w:t>—</w:t>
            </w:r>
            <w:bookmarkStart w:id="0" w:name="_GoBack"/>
            <w:bookmarkEnd w:id="0"/>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5.24</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预期性</w:t>
            </w:r>
          </w:p>
        </w:tc>
      </w:tr>
      <w:tr w:rsidR="00557117">
        <w:trPr>
          <w:trHeight w:val="56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农用地/生态用地/建设用地比例结构</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2"/>
              </w:rPr>
              <w:t>—</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2"/>
              </w:rPr>
              <w:t>—</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预期性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生活污水处理农户覆盖率（%）</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70</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90</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预期性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农村生活垃圾处理率（%）</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70</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90</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预期性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饮用水水源水质达标率（%）</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70</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100</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预期性</w:t>
            </w:r>
          </w:p>
        </w:tc>
      </w:tr>
      <w:tr w:rsidR="00557117">
        <w:trPr>
          <w:trHeight w:val="456"/>
        </w:trPr>
        <w:tc>
          <w:tcPr>
            <w:tcW w:w="41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农村卫生厕所普及率（%）</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70</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557117" w:rsidRDefault="005C37B4">
            <w:pPr>
              <w:widowControl/>
              <w:jc w:val="center"/>
              <w:textAlignment w:val="bottom"/>
              <w:rPr>
                <w:rFonts w:ascii="黑体" w:eastAsia="黑体" w:hAnsi="黑体"/>
                <w:sz w:val="24"/>
                <w:szCs w:val="24"/>
              </w:rPr>
            </w:pPr>
            <w:r>
              <w:rPr>
                <w:rFonts w:ascii="黑体" w:eastAsia="黑体" w:hAnsi="宋体" w:cs="黑体" w:hint="eastAsia"/>
                <w:color w:val="000000"/>
                <w:kern w:val="0"/>
                <w:sz w:val="24"/>
                <w:szCs w:val="24"/>
              </w:rPr>
              <w:t>90</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557117" w:rsidRDefault="005C37B4">
            <w:pPr>
              <w:widowControl/>
              <w:jc w:val="center"/>
              <w:textAlignment w:val="center"/>
              <w:rPr>
                <w:rFonts w:ascii="黑体" w:eastAsia="黑体" w:hAnsi="黑体"/>
                <w:sz w:val="24"/>
                <w:szCs w:val="24"/>
              </w:rPr>
            </w:pPr>
            <w:r>
              <w:rPr>
                <w:rFonts w:ascii="黑体" w:eastAsia="黑体" w:hAnsi="宋体" w:cs="黑体" w:hint="eastAsia"/>
                <w:color w:val="000000"/>
                <w:kern w:val="0"/>
                <w:sz w:val="24"/>
                <w:szCs w:val="24"/>
              </w:rPr>
              <w:t>预期性</w:t>
            </w:r>
          </w:p>
        </w:tc>
      </w:tr>
    </w:tbl>
    <w:p w:rsidR="00557117" w:rsidRDefault="00557117">
      <w:pPr>
        <w:rPr>
          <w:rFonts w:ascii="黑体" w:eastAsia="黑体" w:hAnsi="黑体"/>
          <w:sz w:val="24"/>
          <w:szCs w:val="24"/>
        </w:rPr>
      </w:pPr>
    </w:p>
    <w:p w:rsidR="00557117" w:rsidRDefault="00557117"/>
    <w:p w:rsidR="00557117" w:rsidRDefault="00557117"/>
    <w:p w:rsidR="00557117" w:rsidRDefault="00557117"/>
    <w:p w:rsidR="00557117" w:rsidRDefault="005C37B4">
      <w:r>
        <w:lastRenderedPageBreak/>
        <w:t>附图</w:t>
      </w:r>
      <w:r>
        <w:rPr>
          <w:rFonts w:hint="eastAsia"/>
        </w:rPr>
        <w:t>：</w:t>
      </w:r>
    </w:p>
    <w:p w:rsidR="00557117" w:rsidRDefault="00557117"/>
    <w:p w:rsidR="00557117" w:rsidRDefault="005C37B4">
      <w:r>
        <w:rPr>
          <w:noProof/>
        </w:rPr>
        <w:drawing>
          <wp:inline distT="0" distB="0" distL="0" distR="0">
            <wp:extent cx="5255260" cy="3717925"/>
            <wp:effectExtent l="0" t="0" r="2540" b="15875"/>
            <wp:docPr id="5" name="图片 5" descr="E:\2022\1柳江村庄入库\柳江乐山、江中、龙新三个村入库文件\450206108211龙新村委会村庄规划电子成果数据\2栅格图件\450206108211龙新村委会村域综合规划图.jpg450206108211龙新村委会村域综合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2022\1柳江村庄入库\柳江乐山、江中、龙新三个村入库文件\450206108211龙新村委会村庄规划电子成果数据\2栅格图件\450206108211龙新村委会村域综合规划图.jpg450206108211龙新村委会村域综合规划图"/>
                    <pic:cNvPicPr>
                      <a:picLocks noChangeAspect="1" noChangeArrowheads="1"/>
                    </pic:cNvPicPr>
                  </pic:nvPicPr>
                  <pic:blipFill>
                    <a:blip r:embed="rId8" cstate="print"/>
                    <a:srcRect/>
                    <a:stretch>
                      <a:fillRect/>
                    </a:stretch>
                  </pic:blipFill>
                  <pic:spPr>
                    <a:xfrm>
                      <a:off x="0" y="0"/>
                      <a:ext cx="5255260" cy="3717925"/>
                    </a:xfrm>
                    <a:prstGeom prst="rect">
                      <a:avLst/>
                    </a:prstGeom>
                    <a:noFill/>
                    <a:ln>
                      <a:noFill/>
                    </a:ln>
                  </pic:spPr>
                </pic:pic>
              </a:graphicData>
            </a:graphic>
          </wp:inline>
        </w:drawing>
      </w:r>
    </w:p>
    <w:p w:rsidR="00557117" w:rsidRDefault="00557117"/>
    <w:p w:rsidR="00557117" w:rsidRDefault="00557117"/>
    <w:p w:rsidR="00557117" w:rsidRDefault="005C37B4">
      <w:r>
        <w:rPr>
          <w:noProof/>
        </w:rPr>
        <w:drawing>
          <wp:inline distT="0" distB="0" distL="0" distR="0">
            <wp:extent cx="5224780" cy="3696335"/>
            <wp:effectExtent l="0" t="0" r="13970" b="18415"/>
            <wp:docPr id="1" name="图片 1" descr="E:\2022\1柳江村庄入库\柳江乐山、江中、龙新三个村入库文件\450206108211龙新村委会村庄规划电子成果数据\2栅格图件\450206108211龙新村委会居民点规划图1.jpg450206108211龙新村委会居民点规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022\1柳江村庄入库\柳江乐山、江中、龙新三个村入库文件\450206108211龙新村委会村庄规划电子成果数据\2栅格图件\450206108211龙新村委会居民点规划图1.jpg450206108211龙新村委会居民点规划图1"/>
                    <pic:cNvPicPr>
                      <a:picLocks noChangeAspect="1" noChangeArrowheads="1"/>
                    </pic:cNvPicPr>
                  </pic:nvPicPr>
                  <pic:blipFill>
                    <a:blip r:embed="rId9" cstate="print"/>
                    <a:srcRect/>
                    <a:stretch>
                      <a:fillRect/>
                    </a:stretch>
                  </pic:blipFill>
                  <pic:spPr>
                    <a:xfrm>
                      <a:off x="0" y="0"/>
                      <a:ext cx="5224780" cy="3696456"/>
                    </a:xfrm>
                    <a:prstGeom prst="rect">
                      <a:avLst/>
                    </a:prstGeom>
                    <a:noFill/>
                    <a:ln>
                      <a:noFill/>
                    </a:ln>
                  </pic:spPr>
                </pic:pic>
              </a:graphicData>
            </a:graphic>
          </wp:inline>
        </w:drawing>
      </w:r>
    </w:p>
    <w:p w:rsidR="00557117" w:rsidRDefault="005C37B4">
      <w:r>
        <w:rPr>
          <w:noProof/>
        </w:rPr>
        <w:lastRenderedPageBreak/>
        <w:drawing>
          <wp:inline distT="0" distB="0" distL="0" distR="0">
            <wp:extent cx="5259705" cy="3721100"/>
            <wp:effectExtent l="0" t="0" r="17145" b="12700"/>
            <wp:docPr id="2" name="图片 2" descr="E:\2022\1柳江村庄入库\柳江乐山、江中、龙新三个村入库文件\450206108211龙新村委会村庄规划电子成果数据\2栅格图件\450206108211龙新村委会居民点示意图1.jpg450206108211龙新村委会居民点示意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022\1柳江村庄入库\柳江乐山、江中、龙新三个村入库文件\450206108211龙新村委会村庄规划电子成果数据\2栅格图件\450206108211龙新村委会居民点示意图1.jpg450206108211龙新村委会居民点示意图1"/>
                    <pic:cNvPicPr>
                      <a:picLocks noChangeAspect="1" noChangeArrowheads="1"/>
                    </pic:cNvPicPr>
                  </pic:nvPicPr>
                  <pic:blipFill>
                    <a:blip r:embed="rId10" cstate="print"/>
                    <a:srcRect/>
                    <a:stretch>
                      <a:fillRect/>
                    </a:stretch>
                  </pic:blipFill>
                  <pic:spPr>
                    <a:xfrm>
                      <a:off x="0" y="0"/>
                      <a:ext cx="5259705" cy="3721386"/>
                    </a:xfrm>
                    <a:prstGeom prst="rect">
                      <a:avLst/>
                    </a:prstGeom>
                    <a:noFill/>
                    <a:ln>
                      <a:noFill/>
                    </a:ln>
                  </pic:spPr>
                </pic:pic>
              </a:graphicData>
            </a:graphic>
          </wp:inline>
        </w:drawing>
      </w:r>
    </w:p>
    <w:sectPr w:rsidR="00557117" w:rsidSect="005571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5AD" w:rsidRDefault="009165AD" w:rsidP="00CC1F86">
      <w:r>
        <w:separator/>
      </w:r>
    </w:p>
  </w:endnote>
  <w:endnote w:type="continuationSeparator" w:id="0">
    <w:p w:rsidR="009165AD" w:rsidRDefault="009165AD" w:rsidP="00CC1F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5AD" w:rsidRDefault="009165AD" w:rsidP="00CC1F86">
      <w:r>
        <w:separator/>
      </w:r>
    </w:p>
  </w:footnote>
  <w:footnote w:type="continuationSeparator" w:id="0">
    <w:p w:rsidR="009165AD" w:rsidRDefault="009165AD" w:rsidP="00CC1F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BFD25A"/>
    <w:multiLevelType w:val="singleLevel"/>
    <w:tmpl w:val="93BFD25A"/>
    <w:lvl w:ilvl="0">
      <w:start w:val="5"/>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ZkMzdjZDA1Nzk4MTIyZGY5ZDA4ZmYxMDJkNGJlMmIifQ=="/>
  </w:docVars>
  <w:rsids>
    <w:rsidRoot w:val="00C947EA"/>
    <w:rsid w:val="00023128"/>
    <w:rsid w:val="000A7E96"/>
    <w:rsid w:val="001322DA"/>
    <w:rsid w:val="00135893"/>
    <w:rsid w:val="002349EB"/>
    <w:rsid w:val="002D025A"/>
    <w:rsid w:val="002E09C7"/>
    <w:rsid w:val="003610ED"/>
    <w:rsid w:val="00370FB0"/>
    <w:rsid w:val="003B3C6B"/>
    <w:rsid w:val="003D1AAB"/>
    <w:rsid w:val="003F65F3"/>
    <w:rsid w:val="0040757C"/>
    <w:rsid w:val="00437C1E"/>
    <w:rsid w:val="004512D6"/>
    <w:rsid w:val="0047091E"/>
    <w:rsid w:val="004D0AC1"/>
    <w:rsid w:val="004D1D31"/>
    <w:rsid w:val="004E1283"/>
    <w:rsid w:val="005316AA"/>
    <w:rsid w:val="00557117"/>
    <w:rsid w:val="00572811"/>
    <w:rsid w:val="00585032"/>
    <w:rsid w:val="005A31A8"/>
    <w:rsid w:val="005C1136"/>
    <w:rsid w:val="005C37B4"/>
    <w:rsid w:val="005D4E24"/>
    <w:rsid w:val="005E4308"/>
    <w:rsid w:val="00607E32"/>
    <w:rsid w:val="00635ECD"/>
    <w:rsid w:val="00651FE4"/>
    <w:rsid w:val="00666DDD"/>
    <w:rsid w:val="006A5774"/>
    <w:rsid w:val="006B2AF5"/>
    <w:rsid w:val="006C5042"/>
    <w:rsid w:val="00726797"/>
    <w:rsid w:val="0072711F"/>
    <w:rsid w:val="00751F2F"/>
    <w:rsid w:val="00752741"/>
    <w:rsid w:val="007C127C"/>
    <w:rsid w:val="007E3F64"/>
    <w:rsid w:val="008266BC"/>
    <w:rsid w:val="00826EBD"/>
    <w:rsid w:val="00853303"/>
    <w:rsid w:val="00875AC7"/>
    <w:rsid w:val="008A26E8"/>
    <w:rsid w:val="008B5194"/>
    <w:rsid w:val="008D789E"/>
    <w:rsid w:val="009165AD"/>
    <w:rsid w:val="00922A9F"/>
    <w:rsid w:val="009374E8"/>
    <w:rsid w:val="0097098A"/>
    <w:rsid w:val="009D3A47"/>
    <w:rsid w:val="009E0AF0"/>
    <w:rsid w:val="00A840BF"/>
    <w:rsid w:val="00B205ED"/>
    <w:rsid w:val="00B5767F"/>
    <w:rsid w:val="00B652A9"/>
    <w:rsid w:val="00B76D25"/>
    <w:rsid w:val="00B84DF0"/>
    <w:rsid w:val="00B867EF"/>
    <w:rsid w:val="00BB6753"/>
    <w:rsid w:val="00BC6745"/>
    <w:rsid w:val="00C06F19"/>
    <w:rsid w:val="00C507B7"/>
    <w:rsid w:val="00C754E6"/>
    <w:rsid w:val="00C947EA"/>
    <w:rsid w:val="00CB7E88"/>
    <w:rsid w:val="00CC1F86"/>
    <w:rsid w:val="00CE25CA"/>
    <w:rsid w:val="00D30754"/>
    <w:rsid w:val="00D81FF3"/>
    <w:rsid w:val="00DE4A84"/>
    <w:rsid w:val="00E200E8"/>
    <w:rsid w:val="00E41EC6"/>
    <w:rsid w:val="00E67E92"/>
    <w:rsid w:val="00E719F2"/>
    <w:rsid w:val="00E9415F"/>
    <w:rsid w:val="00ED22EB"/>
    <w:rsid w:val="00ED7871"/>
    <w:rsid w:val="00F12269"/>
    <w:rsid w:val="00F222C1"/>
    <w:rsid w:val="00F3607C"/>
    <w:rsid w:val="00FC0C54"/>
    <w:rsid w:val="00FE575B"/>
    <w:rsid w:val="00FF149C"/>
    <w:rsid w:val="018E6FF4"/>
    <w:rsid w:val="352275ED"/>
    <w:rsid w:val="3C5F19D8"/>
    <w:rsid w:val="42695F49"/>
    <w:rsid w:val="4EC9381F"/>
    <w:rsid w:val="5C172305"/>
    <w:rsid w:val="5CBB08CA"/>
    <w:rsid w:val="68DD4C69"/>
    <w:rsid w:val="72540CE1"/>
    <w:rsid w:val="766E36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11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57117"/>
    <w:rPr>
      <w:sz w:val="18"/>
      <w:szCs w:val="18"/>
    </w:rPr>
  </w:style>
  <w:style w:type="paragraph" w:styleId="a4">
    <w:name w:val="footer"/>
    <w:basedOn w:val="a"/>
    <w:link w:val="Char0"/>
    <w:uiPriority w:val="99"/>
    <w:unhideWhenUsed/>
    <w:qFormat/>
    <w:rsid w:val="0055711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5711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557117"/>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557117"/>
    <w:rPr>
      <w:sz w:val="18"/>
      <w:szCs w:val="18"/>
    </w:rPr>
  </w:style>
  <w:style w:type="character" w:customStyle="1" w:styleId="Char0">
    <w:name w:val="页脚 Char"/>
    <w:basedOn w:val="a0"/>
    <w:link w:val="a4"/>
    <w:uiPriority w:val="99"/>
    <w:qFormat/>
    <w:rsid w:val="00557117"/>
    <w:rPr>
      <w:sz w:val="18"/>
      <w:szCs w:val="18"/>
    </w:rPr>
  </w:style>
  <w:style w:type="character" w:customStyle="1" w:styleId="Char">
    <w:name w:val="批注框文本 Char"/>
    <w:basedOn w:val="a0"/>
    <w:link w:val="a3"/>
    <w:uiPriority w:val="99"/>
    <w:semiHidden/>
    <w:qFormat/>
    <w:rsid w:val="00557117"/>
    <w:rPr>
      <w:sz w:val="18"/>
      <w:szCs w:val="18"/>
    </w:rPr>
  </w:style>
</w:styles>
</file>

<file path=word/webSettings.xml><?xml version="1.0" encoding="utf-8"?>
<w:webSettings xmlns:r="http://schemas.openxmlformats.org/officeDocument/2006/relationships" xmlns:w="http://schemas.openxmlformats.org/wordprocessingml/2006/main">
  <w:divs>
    <w:div w:id="478229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91A72-606C-4A36-8BFD-F25C7260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602</Words>
  <Characters>3437</Characters>
  <Application>Microsoft Office Word</Application>
  <DocSecurity>0</DocSecurity>
  <Lines>28</Lines>
  <Paragraphs>8</Paragraphs>
  <ScaleCrop>false</ScaleCrop>
  <Company>Microsoft</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administrator1</dc:creator>
  <cp:lastModifiedBy>Administrator</cp:lastModifiedBy>
  <cp:revision>40</cp:revision>
  <dcterms:created xsi:type="dcterms:W3CDTF">2022-09-21T03:19:00Z</dcterms:created>
  <dcterms:modified xsi:type="dcterms:W3CDTF">2023-01-10T01:23:00Z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6C09C0A5B1AE438EB83A0CC0A46F0527</vt:lpwstr>
  </property>
</Properties>
</file>