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640" w:firstLineChars="200"/>
        <w:jc w:val="right"/>
        <w:rPr>
          <w:rFonts w:eastAsia="仿宋_GB2312"/>
          <w:sz w:val="32"/>
          <w:szCs w:val="32"/>
        </w:rPr>
      </w:pPr>
      <w:r>
        <w:rPr>
          <w:rFonts w:eastAsia="仿宋_GB2312"/>
          <w:sz w:val="32"/>
          <w:szCs w:val="32"/>
        </w:rPr>
        <w:t>桂政土批函（</w:t>
      </w:r>
      <w:r>
        <w:rPr>
          <w:rFonts w:hint="eastAsia" w:eastAsia="仿宋_GB2312"/>
          <w:sz w:val="32"/>
          <w:szCs w:val="32"/>
        </w:rPr>
        <w:t>2</w:t>
      </w:r>
      <w:r>
        <w:rPr>
          <w:rFonts w:eastAsia="仿宋_GB2312"/>
          <w:sz w:val="32"/>
          <w:szCs w:val="32"/>
        </w:rPr>
        <w:t>）〔20</w:t>
      </w:r>
      <w:r>
        <w:rPr>
          <w:rFonts w:hint="eastAsia" w:eastAsia="仿宋_GB2312"/>
          <w:sz w:val="32"/>
          <w:szCs w:val="32"/>
        </w:rPr>
        <w:t>23</w:t>
      </w:r>
      <w:r>
        <w:rPr>
          <w:rFonts w:eastAsia="仿宋_GB2312"/>
          <w:sz w:val="32"/>
          <w:szCs w:val="32"/>
        </w:rPr>
        <w:t>〕</w:t>
      </w:r>
      <w:r>
        <w:rPr>
          <w:rFonts w:hint="eastAsia" w:eastAsia="仿宋_GB2312"/>
          <w:sz w:val="32"/>
          <w:szCs w:val="32"/>
          <w:lang w:val="en-US" w:eastAsia="zh-CN"/>
        </w:rPr>
        <w:t>5</w:t>
      </w:r>
      <w:r>
        <w:rPr>
          <w:rFonts w:eastAsia="仿宋_GB2312"/>
          <w:sz w:val="32"/>
          <w:szCs w:val="32"/>
        </w:rPr>
        <w:t>号</w:t>
      </w:r>
    </w:p>
    <w:p>
      <w:pPr>
        <w:spacing w:line="580" w:lineRule="exact"/>
        <w:ind w:firstLine="640" w:firstLineChars="200"/>
        <w:jc w:val="right"/>
        <w:rPr>
          <w:rFonts w:eastAsia="仿宋_GB2312"/>
          <w:sz w:val="32"/>
          <w:szCs w:val="32"/>
        </w:rPr>
      </w:pPr>
    </w:p>
    <w:p>
      <w:pPr>
        <w:spacing w:line="580" w:lineRule="exact"/>
        <w:jc w:val="center"/>
        <w:rPr>
          <w:rFonts w:eastAsia="方正小标宋_GBK"/>
          <w:sz w:val="44"/>
          <w:szCs w:val="44"/>
        </w:rPr>
      </w:pPr>
      <w:r>
        <w:rPr>
          <w:rFonts w:eastAsia="方正小标宋_GBK"/>
          <w:sz w:val="44"/>
          <w:szCs w:val="44"/>
        </w:rPr>
        <w:t>广西壮族自治区人民政府关于</w:t>
      </w:r>
      <w:r>
        <w:rPr>
          <w:rFonts w:hint="eastAsia" w:eastAsia="方正小标宋_GBK"/>
          <w:sz w:val="44"/>
          <w:szCs w:val="44"/>
        </w:rPr>
        <w:t>柳州市柳江区</w:t>
      </w:r>
    </w:p>
    <w:p>
      <w:pPr>
        <w:spacing w:line="580" w:lineRule="exact"/>
        <w:jc w:val="center"/>
        <w:rPr>
          <w:rFonts w:eastAsia="方正小标宋_GBK"/>
          <w:sz w:val="44"/>
          <w:szCs w:val="44"/>
        </w:rPr>
      </w:pPr>
      <w:r>
        <w:rPr>
          <w:rFonts w:hint="eastAsia" w:eastAsia="方正小标宋_GBK"/>
          <w:sz w:val="44"/>
          <w:szCs w:val="44"/>
        </w:rPr>
        <w:t>2022</w:t>
      </w:r>
      <w:r>
        <w:rPr>
          <w:rFonts w:eastAsia="方正小标宋_GBK"/>
          <w:sz w:val="44"/>
          <w:szCs w:val="44"/>
        </w:rPr>
        <w:t>年第二十六批次乡镇建设用地的批复</w:t>
      </w:r>
    </w:p>
    <w:p>
      <w:pPr>
        <w:spacing w:line="580" w:lineRule="exact"/>
        <w:rPr>
          <w:rFonts w:eastAsia="方正小标宋_GBK"/>
          <w:sz w:val="44"/>
          <w:szCs w:val="44"/>
        </w:rPr>
      </w:pPr>
    </w:p>
    <w:p>
      <w:pPr>
        <w:spacing w:line="580" w:lineRule="exact"/>
        <w:rPr>
          <w:rFonts w:eastAsia="仿宋_GB2312"/>
          <w:kern w:val="0"/>
          <w:sz w:val="32"/>
        </w:rPr>
      </w:pPr>
      <w:r>
        <w:rPr>
          <w:rFonts w:hint="eastAsia" w:eastAsia="仿宋_GB2312"/>
          <w:kern w:val="0"/>
          <w:sz w:val="32"/>
        </w:rPr>
        <w:t>柳州</w:t>
      </w:r>
      <w:r>
        <w:rPr>
          <w:rFonts w:eastAsia="仿宋_GB2312"/>
          <w:kern w:val="0"/>
          <w:sz w:val="32"/>
        </w:rPr>
        <w:t>市人民政府：</w:t>
      </w:r>
    </w:p>
    <w:p>
      <w:pPr>
        <w:spacing w:line="580" w:lineRule="exact"/>
        <w:ind w:firstLine="640" w:firstLineChars="200"/>
        <w:rPr>
          <w:rFonts w:eastAsia="仿宋_GB2312"/>
          <w:kern w:val="0"/>
          <w:sz w:val="32"/>
        </w:rPr>
      </w:pPr>
      <w:r>
        <w:rPr>
          <w:rFonts w:eastAsia="仿宋_GB2312"/>
          <w:kern w:val="0"/>
          <w:sz w:val="32"/>
        </w:rPr>
        <w:t>你市关于办理</w:t>
      </w:r>
      <w:r>
        <w:rPr>
          <w:rFonts w:hint="eastAsia" w:eastAsia="仿宋_GB2312"/>
          <w:kern w:val="0"/>
          <w:sz w:val="32"/>
        </w:rPr>
        <w:t>柳州</w:t>
      </w:r>
      <w:r>
        <w:rPr>
          <w:rFonts w:eastAsia="仿宋_GB2312"/>
          <w:kern w:val="0"/>
          <w:sz w:val="32"/>
        </w:rPr>
        <w:t>市柳江区</w:t>
      </w:r>
      <w:r>
        <w:rPr>
          <w:rFonts w:hint="eastAsia" w:eastAsia="仿宋_GB2312"/>
          <w:kern w:val="0"/>
          <w:sz w:val="32"/>
        </w:rPr>
        <w:t>2022</w:t>
      </w:r>
      <w:r>
        <w:rPr>
          <w:rFonts w:eastAsia="仿宋_GB2312"/>
          <w:kern w:val="0"/>
          <w:sz w:val="32"/>
        </w:rPr>
        <w:t>年第二十六批次乡镇建设用地手续的申请材料收悉。现批复如下：</w:t>
      </w:r>
    </w:p>
    <w:p>
      <w:pPr>
        <w:spacing w:line="580" w:lineRule="exact"/>
        <w:ind w:firstLine="640" w:firstLineChars="200"/>
        <w:rPr>
          <w:rFonts w:eastAsia="仿宋_GB2312"/>
          <w:kern w:val="0"/>
          <w:sz w:val="32"/>
        </w:rPr>
      </w:pPr>
      <w:r>
        <w:rPr>
          <w:rFonts w:eastAsia="仿宋_GB2312"/>
          <w:kern w:val="0"/>
          <w:sz w:val="32"/>
        </w:rPr>
        <w:t>一、</w:t>
      </w:r>
      <w:r>
        <w:rPr>
          <w:rFonts w:hint="eastAsia" w:eastAsia="仿宋_GB2312"/>
          <w:sz w:val="32"/>
          <w:szCs w:val="32"/>
        </w:rPr>
        <w:t>柳州市</w:t>
      </w:r>
      <w:r>
        <w:rPr>
          <w:rFonts w:eastAsia="仿宋_GB2312"/>
          <w:sz w:val="32"/>
          <w:szCs w:val="32"/>
        </w:rPr>
        <w:t>柳江区</w:t>
      </w:r>
      <w:r>
        <w:rPr>
          <w:rFonts w:hint="eastAsia" w:eastAsia="仿宋_GB2312"/>
          <w:sz w:val="32"/>
          <w:szCs w:val="32"/>
        </w:rPr>
        <w:t>2022</w:t>
      </w:r>
      <w:r>
        <w:rPr>
          <w:rFonts w:eastAsia="仿宋_GB2312"/>
          <w:kern w:val="0"/>
          <w:sz w:val="32"/>
        </w:rPr>
        <w:t>年第二十六批次乡镇建设用地涉及的农用地转用已由你市人民政府批准，现同意将你市柳江区穿山镇穿山村民委员会的集体土地</w:t>
      </w:r>
      <w:r>
        <w:rPr>
          <w:rFonts w:hint="eastAsia" w:eastAsia="仿宋_GB2312"/>
          <w:kern w:val="0"/>
          <w:sz w:val="32"/>
        </w:rPr>
        <w:t>0.7183</w:t>
      </w:r>
      <w:r>
        <w:rPr>
          <w:rFonts w:eastAsia="仿宋_GB2312"/>
          <w:kern w:val="0"/>
          <w:sz w:val="32"/>
        </w:rPr>
        <w:t>公顷（水田</w:t>
      </w:r>
      <w:r>
        <w:rPr>
          <w:rFonts w:hint="eastAsia" w:eastAsia="仿宋_GB2312"/>
          <w:kern w:val="0"/>
          <w:sz w:val="32"/>
        </w:rPr>
        <w:t>0.6939</w:t>
      </w:r>
      <w:r>
        <w:rPr>
          <w:rFonts w:eastAsia="仿宋_GB2312"/>
          <w:kern w:val="0"/>
          <w:sz w:val="32"/>
        </w:rPr>
        <w:t>公顷、沟渠</w:t>
      </w:r>
      <w:r>
        <w:rPr>
          <w:rFonts w:hint="eastAsia" w:eastAsia="仿宋_GB2312"/>
          <w:kern w:val="0"/>
          <w:sz w:val="32"/>
        </w:rPr>
        <w:t>0.0244</w:t>
      </w:r>
      <w:r>
        <w:rPr>
          <w:rFonts w:eastAsia="仿宋_GB2312"/>
          <w:kern w:val="0"/>
          <w:sz w:val="32"/>
        </w:rPr>
        <w:t>公顷）征收为国有，作为你市柳江区</w:t>
      </w:r>
      <w:r>
        <w:rPr>
          <w:rFonts w:hint="eastAsia" w:eastAsia="仿宋_GB2312"/>
          <w:kern w:val="0"/>
          <w:sz w:val="32"/>
        </w:rPr>
        <w:t>2022</w:t>
      </w:r>
      <w:r>
        <w:rPr>
          <w:rFonts w:eastAsia="仿宋_GB2312"/>
          <w:kern w:val="0"/>
          <w:sz w:val="32"/>
        </w:rPr>
        <w:t>年第二十六批次乡镇建设用地。</w:t>
      </w:r>
    </w:p>
    <w:p>
      <w:pPr>
        <w:spacing w:line="580" w:lineRule="exact"/>
        <w:ind w:firstLine="640" w:firstLineChars="200"/>
        <w:rPr>
          <w:rFonts w:eastAsia="仿宋_GB2312"/>
          <w:kern w:val="0"/>
          <w:sz w:val="32"/>
        </w:rPr>
      </w:pPr>
      <w:r>
        <w:rPr>
          <w:rFonts w:eastAsia="仿宋_GB2312"/>
          <w:kern w:val="0"/>
          <w:sz w:val="32"/>
        </w:rPr>
        <w:t>二、要督促</w:t>
      </w:r>
      <w:r>
        <w:rPr>
          <w:rFonts w:hint="eastAsia" w:eastAsia="仿宋_GB2312"/>
          <w:kern w:val="0"/>
          <w:sz w:val="32"/>
        </w:rPr>
        <w:t>柳江区</w:t>
      </w:r>
      <w:r>
        <w:rPr>
          <w:rFonts w:eastAsia="仿宋_GB2312"/>
          <w:kern w:val="0"/>
          <w:sz w:val="32"/>
        </w:rPr>
        <w:t>人民政府严格履行征地批后程序，</w:t>
      </w:r>
      <w:r>
        <w:rPr>
          <w:rFonts w:hint="eastAsia" w:eastAsia="仿宋_GB2312"/>
          <w:kern w:val="0"/>
          <w:sz w:val="32"/>
        </w:rPr>
        <w:t>按照新的征地区片综合地价落实被征地群众的征地补偿，</w:t>
      </w:r>
      <w:r>
        <w:rPr>
          <w:rFonts w:eastAsia="仿宋_GB2312"/>
          <w:kern w:val="0"/>
          <w:sz w:val="32"/>
        </w:rPr>
        <w:t>及时支付补偿费用；落实好被征地农民社会保障措施，安排好生产和生活，确保被征地农民原有生活水平不降低、长远生计有保障；解决好因征地引起的信访问题，做好群众思想工作，维护社会稳定。</w:t>
      </w:r>
    </w:p>
    <w:p>
      <w:pPr>
        <w:spacing w:line="580" w:lineRule="exact"/>
        <w:ind w:firstLine="640" w:firstLineChars="200"/>
        <w:rPr>
          <w:rFonts w:eastAsia="仿宋_GB2312"/>
          <w:kern w:val="0"/>
          <w:sz w:val="32"/>
        </w:rPr>
      </w:pPr>
      <w:r>
        <w:rPr>
          <w:rFonts w:eastAsia="仿宋_GB2312"/>
          <w:kern w:val="0"/>
          <w:sz w:val="32"/>
        </w:rPr>
        <w:t>三、要采取有效措施，进一步提高已补充</w:t>
      </w:r>
      <w:r>
        <w:rPr>
          <w:rFonts w:hint="eastAsia" w:eastAsia="仿宋_GB2312"/>
          <w:kern w:val="0"/>
          <w:sz w:val="32"/>
        </w:rPr>
        <w:t>0.6939</w:t>
      </w:r>
      <w:r>
        <w:rPr>
          <w:rFonts w:eastAsia="仿宋_GB2312"/>
          <w:kern w:val="0"/>
          <w:sz w:val="32"/>
        </w:rPr>
        <w:t>公顷新增耕地的质量，加强对补充耕地管护情况的监督检查。</w:t>
      </w:r>
    </w:p>
    <w:p>
      <w:pPr>
        <w:spacing w:line="580" w:lineRule="exact"/>
        <w:ind w:firstLine="640" w:firstLineChars="200"/>
        <w:rPr>
          <w:rFonts w:eastAsia="仿宋_GB2312"/>
          <w:kern w:val="0"/>
          <w:sz w:val="32"/>
        </w:rPr>
      </w:pPr>
      <w:r>
        <w:rPr>
          <w:rFonts w:eastAsia="仿宋_GB2312"/>
          <w:kern w:val="0"/>
          <w:sz w:val="32"/>
        </w:rPr>
        <w:t>四、要严格按照国家有关法律法规规定向具体建设项目提供建设用地。供地情况要及时报自治区自然资源厅备案。</w:t>
      </w:r>
    </w:p>
    <w:p>
      <w:pPr>
        <w:spacing w:line="580" w:lineRule="exact"/>
        <w:ind w:firstLine="640" w:firstLineChars="200"/>
        <w:rPr>
          <w:rFonts w:eastAsia="仿宋_GB2312"/>
          <w:kern w:val="0"/>
          <w:sz w:val="32"/>
        </w:rPr>
      </w:pPr>
      <w:r>
        <w:rPr>
          <w:rFonts w:eastAsia="仿宋_GB2312"/>
          <w:kern w:val="0"/>
          <w:sz w:val="32"/>
        </w:rPr>
        <w:t>五、要切实加强建设用地批后监管工作，落实批后监管责任。</w:t>
      </w:r>
    </w:p>
    <w:p>
      <w:pPr>
        <w:spacing w:line="580" w:lineRule="exact"/>
        <w:ind w:firstLine="640" w:firstLineChars="200"/>
        <w:rPr>
          <w:rFonts w:eastAsia="仿宋_GB2312"/>
          <w:kern w:val="0"/>
          <w:sz w:val="32"/>
        </w:rPr>
      </w:pPr>
      <w:r>
        <w:rPr>
          <w:rFonts w:eastAsia="仿宋_GB2312"/>
          <w:kern w:val="0"/>
          <w:sz w:val="32"/>
        </w:rPr>
        <w:t>六、要督促用地单位按有关规定做好地质灾害危险性评估工作，并缴纳用地有关税费。</w:t>
      </w: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firstLine="640" w:firstLineChars="200"/>
        <w:rPr>
          <w:rFonts w:eastAsia="仿宋_GB2312"/>
          <w:sz w:val="32"/>
          <w:szCs w:val="32"/>
        </w:rPr>
      </w:pPr>
    </w:p>
    <w:p>
      <w:pPr>
        <w:spacing w:line="580" w:lineRule="exact"/>
        <w:ind w:right="1120" w:firstLine="4960" w:firstLineChars="1550"/>
        <w:rPr>
          <w:rFonts w:eastAsia="仿宋_GB2312"/>
          <w:sz w:val="32"/>
          <w:szCs w:val="32"/>
        </w:rPr>
      </w:pPr>
      <w:r>
        <w:rPr>
          <w:rFonts w:eastAsia="仿宋_GB2312"/>
          <w:sz w:val="32"/>
          <w:szCs w:val="32"/>
        </w:rPr>
        <w:t>20</w:t>
      </w:r>
      <w:r>
        <w:rPr>
          <w:rFonts w:hint="eastAsia" w:eastAsia="仿宋_GB2312"/>
          <w:sz w:val="32"/>
          <w:szCs w:val="32"/>
        </w:rPr>
        <w:t>23</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8</w:t>
      </w:r>
      <w:bookmarkStart w:id="0" w:name="_GoBack"/>
      <w:bookmarkEnd w:id="0"/>
      <w:r>
        <w:rPr>
          <w:rFonts w:eastAsia="仿宋_GB2312"/>
          <w:sz w:val="32"/>
          <w:szCs w:val="32"/>
        </w:rPr>
        <w:t>日</w:t>
      </w: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ind w:right="1120" w:firstLine="4320" w:firstLineChars="1350"/>
        <w:rPr>
          <w:rFonts w:eastAsia="仿宋_GB2312"/>
          <w:sz w:val="32"/>
          <w:szCs w:val="32"/>
        </w:rPr>
      </w:pPr>
    </w:p>
    <w:p>
      <w:pPr>
        <w:spacing w:line="580" w:lineRule="exact"/>
        <w:rPr>
          <w:rFonts w:eastAsia="仿宋_GB2312"/>
          <w:kern w:val="0"/>
          <w:sz w:val="32"/>
        </w:rPr>
      </w:pPr>
      <w:r>
        <w:rPr>
          <w:rFonts w:eastAsia="黑体"/>
          <w:kern w:val="0"/>
          <w:sz w:val="32"/>
          <w:szCs w:val="32"/>
        </w:rPr>
        <w:t>公开方式：</w:t>
      </w:r>
      <w:r>
        <w:rPr>
          <w:rFonts w:eastAsia="楷体_GB2312"/>
          <w:kern w:val="0"/>
          <w:sz w:val="32"/>
          <w:szCs w:val="32"/>
        </w:rPr>
        <w:t>主动公开</w:t>
      </w:r>
    </w:p>
    <w:p>
      <w:pPr>
        <w:spacing w:line="580" w:lineRule="exact"/>
        <w:ind w:left="1344" w:leftChars="194" w:hanging="937" w:hangingChars="293"/>
      </w:pPr>
      <w:r>
        <w:rPr>
          <w:rFonts w:eastAsia="仿宋_GB2312"/>
          <w:sz w:val="32"/>
          <w:szCs w:val="32"/>
        </w:rPr>
        <w:t>抄送：国家</w:t>
      </w:r>
      <w:r>
        <w:rPr>
          <w:rFonts w:eastAsia="仿宋_GB2312"/>
          <w:spacing w:val="-10"/>
          <w:sz w:val="32"/>
          <w:szCs w:val="32"/>
        </w:rPr>
        <w:t>自然资源督察广州局，自治区自然资源厅、财政厅、人力资源社会保障厅，广西税务局。</w:t>
      </w: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03C"/>
    <w:rsid w:val="000073C8"/>
    <w:rsid w:val="004361AC"/>
    <w:rsid w:val="00827765"/>
    <w:rsid w:val="00876B5B"/>
    <w:rsid w:val="008A32BB"/>
    <w:rsid w:val="00920E55"/>
    <w:rsid w:val="00C1703C"/>
    <w:rsid w:val="00CF3AB1"/>
    <w:rsid w:val="00CF6E58"/>
    <w:rsid w:val="00D66FFC"/>
    <w:rsid w:val="00E6312B"/>
    <w:rsid w:val="00E92F11"/>
    <w:rsid w:val="00FC7BB5"/>
    <w:rsid w:val="6119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557</Characters>
  <Lines>4</Lines>
  <Paragraphs>1</Paragraphs>
  <TotalTime>14</TotalTime>
  <ScaleCrop>false</ScaleCrop>
  <LinksUpToDate>false</LinksUpToDate>
  <CharactersWithSpaces>653</CharactersWithSpaces>
  <Application>WPS Office_11.1.0.8822_F1E327BC-269C-435d-A152-05C5408002CA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2022-10-27T04:00:00Z</dcterms:created>
  <dc:creator>Lenovo</dc:creator>
  <cp:lastModifiedBy>马文然&gt;</cp:lastModifiedBy>
  <cp:lastPrinted>2022-11-02T00:54:00Z</cp:lastPrinted>
  <dcterms:modified xsi:type="dcterms:W3CDTF">2023-12-04T07:57:28Z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2052-11.1.0.8822</vt:lpwstr>
  </property>
</Properties>
</file>