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spacing w:line="560" w:lineRule="exact"/>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关于开展2023年柳州市柳江区房建市政工程建设项目招标投标专项检查暨招标投标</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领域第一次</w:t>
      </w:r>
      <w:r>
        <w:rPr>
          <w:rFonts w:hint="eastAsia"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lang w:val="en-US" w:eastAsia="zh-CN"/>
        </w:rPr>
        <w:t>双随机一公开</w:t>
      </w:r>
      <w:r>
        <w:rPr>
          <w:rFonts w:hint="eastAsia" w:ascii="Times New Roman" w:hAnsi="Times New Roman" w:eastAsia="方正小标宋简体" w:cs="Times New Roman"/>
          <w:sz w:val="44"/>
          <w:szCs w:val="44"/>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抽查检查的通知</w:t>
      </w: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各招标单位、招标代理机构：</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为贯彻落实</w:t>
      </w:r>
      <w:r>
        <w:rPr>
          <w:rFonts w:hint="eastAsia" w:ascii="Times New Roman" w:hAnsi="Times New Roman" w:eastAsia="仿宋_GB2312" w:cs="Times New Roman"/>
          <w:spacing w:val="0"/>
          <w:sz w:val="32"/>
          <w:szCs w:val="32"/>
          <w:lang w:val="en-US" w:eastAsia="zh-CN"/>
        </w:rPr>
        <w:t>《关于在工程建设招标投标领域全面推行“双随机一公开”监管模式并建立健全抽查分析研判长效机制的通知》(柳政管发(2023)6号)</w:t>
      </w:r>
      <w:bookmarkStart w:id="0" w:name="_GoBack"/>
      <w:bookmarkEnd w:id="0"/>
      <w:r>
        <w:rPr>
          <w:rFonts w:hint="default" w:ascii="Times New Roman" w:hAnsi="Times New Roman" w:eastAsia="仿宋_GB2312" w:cs="Times New Roman"/>
          <w:spacing w:val="0"/>
          <w:sz w:val="32"/>
          <w:szCs w:val="32"/>
          <w:lang w:val="en-US" w:eastAsia="zh-CN"/>
        </w:rPr>
        <w:t>及《关于印发全区房屋建筑和市政基础设施工程建设领域领导干部利用职权或影响力插手工程项目谋私贪腐问题专项整治工作方案的通知》（桂建管〔2023〕10号）有关部署，强化招标人主体责任，突出事中事后监管，深入开展围标串标卖标、挂靠借用资质投标和招投标代理机构违法违规操控等乱象集中整治，现就2023年柳州市柳江区房建市政工程建设项目招标投标专项检查暨招标投标领域第一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双随机一公开</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抽查检查通知如下：</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一、抽查范围、数量和内容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严格落实依法必须招标项目的事中事后监管，全面推行</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双随机一公开</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 xml:space="preserve">模式，紧盯工程建设项目招标投标领域问题关键环节，严厉打击违法违规行为，建立健全抽查分析研判长效工作机制。    </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抽查范围</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0"/>
          <w:sz w:val="32"/>
          <w:szCs w:val="32"/>
          <w:lang w:val="en-US" w:eastAsia="zh-CN"/>
        </w:rPr>
        <w:t>依据《必须招标的工程项目规定》（国家发展改革委令第16号）和《必须招标的基础设施和公用事业项目范围规定》（发改法规规〔2018〕843号），柳州市江区2022年10月1日—2023</w:t>
      </w:r>
      <w:r>
        <w:rPr>
          <w:rFonts w:hint="default" w:ascii="Times New Roman" w:hAnsi="Times New Roman" w:eastAsia="仿宋_GB2312" w:cs="Times New Roman"/>
          <w:spacing w:val="-6"/>
          <w:sz w:val="32"/>
          <w:szCs w:val="32"/>
          <w:lang w:val="en-US" w:eastAsia="zh-CN"/>
        </w:rPr>
        <w:t>年6月30日完成交易的依法必须进行招标的房建市政工程项目。</w:t>
      </w:r>
    </w:p>
    <w:p>
      <w:pPr>
        <w:keepNext w:val="0"/>
        <w:keepLines w:val="0"/>
        <w:pageBreakBefore w:val="0"/>
        <w:widowControl w:val="0"/>
        <w:numPr>
          <w:ilvl w:val="0"/>
          <w:numId w:val="2"/>
        </w:numPr>
        <w:kinsoku/>
        <w:wordWrap/>
        <w:overflowPunct/>
        <w:topLinePunct w:val="0"/>
        <w:autoSpaceDE/>
        <w:autoSpaceDN/>
        <w:bidi w:val="0"/>
        <w:adjustRightInd/>
        <w:snapToGrid w:val="0"/>
        <w:spacing w:line="600" w:lineRule="exact"/>
        <w:ind w:left="0" w:leftChars="0" w:firstLine="640" w:firstLineChars="200"/>
        <w:contextualSpacing/>
        <w:textAlignment w:val="auto"/>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抽查数量</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 xml:space="preserve">采取随机抽取方式确定抽查项目清单，抽查数量不低于监管项目总数的10%。原则上抽查项目与已被各级抽查检查项目不重复，避免重复检查，减轻市场主体负担。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二、抽查内容</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对依法必须招标工程建设项目的招标公告、招标文件、评标文件、招标投标情况书面报告和合同文件等关键载体、环节开展事中事后随机抽查。重点检查规避招标、未招先建、未依法进场交易，招标程序不规范、弄虚作假、围标串标，领导干部插手工程建设项目招标投标，招投标代理机构违法违规操控，招标投标过程中设置不合理限制和壁垒，将国家已经明令取消的资质资格作为投标条件、加分条件、中标条件，评标专家打分畸高或畸低且无法说明正当理由，订立的书面合同不符合法规制度要求等社会关注度高、市场主体反映强烈以及对营商环境造成不良影响的问题。</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三、检查方式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（一）抽查比例、检查方法及材料报送方式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 按照不低于10%进行集中抽查检查，实施检查时，依法查阅有关文件、资料，调查了解有关情况；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0"/>
          <w:sz w:val="32"/>
          <w:szCs w:val="32"/>
          <w:lang w:val="en-US" w:eastAsia="zh-CN"/>
        </w:rPr>
        <w:t>2. 由招标人督促中标人对各在建项目开展挂靠借用资质投标、</w:t>
      </w:r>
      <w:r>
        <w:rPr>
          <w:rFonts w:hint="default" w:ascii="Times New Roman" w:hAnsi="Times New Roman" w:eastAsia="仿宋_GB2312" w:cs="Times New Roman"/>
          <w:spacing w:val="-6"/>
          <w:sz w:val="32"/>
          <w:szCs w:val="32"/>
          <w:lang w:val="en-US" w:eastAsia="zh-CN"/>
        </w:rPr>
        <w:t>违规出借资质专项清理行动自查，各项目自查情况报我局备案。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楷体_GB2312" w:cs="Times New Roman"/>
          <w:spacing w:val="0"/>
          <w:sz w:val="32"/>
          <w:szCs w:val="32"/>
          <w:lang w:val="en-US" w:eastAsia="zh-CN"/>
        </w:rPr>
      </w:pPr>
      <w:r>
        <w:rPr>
          <w:rFonts w:hint="default" w:ascii="Times New Roman" w:hAnsi="Times New Roman" w:eastAsia="楷体_GB2312" w:cs="Times New Roman"/>
          <w:spacing w:val="0"/>
          <w:sz w:val="32"/>
          <w:szCs w:val="32"/>
          <w:lang w:val="en-US" w:eastAsia="zh-CN"/>
        </w:rPr>
        <w:t>（二）检查对象、检查人员抽取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被检查项目通过随机抽取。检查人员从柳州市建设工程评标专家库中随机抽取。检查人员与被检查对象有利害关系的应当主动申请回避。我局对检查人员检查情况进行复核。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四、检查时间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28"/>
          <w:sz w:val="32"/>
          <w:szCs w:val="32"/>
          <w:lang w:val="en-US" w:eastAsia="zh-CN"/>
        </w:rPr>
        <w:t xml:space="preserve">. </w:t>
      </w:r>
      <w:r>
        <w:rPr>
          <w:rFonts w:hint="default" w:ascii="Times New Roman" w:hAnsi="Times New Roman" w:eastAsia="仿宋_GB2312" w:cs="Times New Roman"/>
          <w:spacing w:val="0"/>
          <w:sz w:val="32"/>
          <w:szCs w:val="32"/>
          <w:lang w:val="en-US" w:eastAsia="zh-CN"/>
        </w:rPr>
        <w:t>9月19日为集中组织抽查检查阶段；</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11"/>
          <w:sz w:val="32"/>
          <w:szCs w:val="32"/>
          <w:lang w:val="en-US" w:eastAsia="zh-CN"/>
        </w:rPr>
        <w:t xml:space="preserve">. </w:t>
      </w:r>
      <w:r>
        <w:rPr>
          <w:rFonts w:hint="default" w:ascii="Times New Roman" w:hAnsi="Times New Roman" w:eastAsia="仿宋_GB2312" w:cs="Times New Roman"/>
          <w:spacing w:val="0"/>
          <w:sz w:val="32"/>
          <w:szCs w:val="32"/>
          <w:lang w:val="en-US" w:eastAsia="zh-CN"/>
        </w:rPr>
        <w:t>各招标人督促中标人对各在建项目开展串标转标卖标、挂靠借用资质投标、违规出借资质、招投标代理机构违法违规操控专项清理行动，并将自查情况上报我局（附件3）。</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lang w:val="en-US" w:eastAsia="zh-CN"/>
        </w:rPr>
        <w:t>五、检查结果运用</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检查情况和结果在柳州市柳江区门户网站向社会公布，对发现的问题下发整改通知并限期整改，对发现的违法违规行为，将依法依规严肃处理或移交相关部门查处。</w:t>
      </w:r>
    </w:p>
    <w:p>
      <w:pPr>
        <w:keepNext w:val="0"/>
        <w:keepLines w:val="0"/>
        <w:pageBreakBefore w:val="0"/>
        <w:widowControl w:val="0"/>
        <w:kinsoku/>
        <w:wordWrap/>
        <w:overflowPunct/>
        <w:topLinePunct w:val="0"/>
        <w:autoSpaceDE/>
        <w:autoSpaceDN/>
        <w:bidi w:val="0"/>
        <w:adjustRightInd/>
        <w:snapToGrid w:val="0"/>
        <w:spacing w:line="600" w:lineRule="exact"/>
        <w:ind w:left="1916" w:leftChars="760" w:hanging="320" w:hangingChars="100"/>
        <w:contextualSpacing/>
        <w:textAlignment w:val="auto"/>
        <w:rPr>
          <w:rFonts w:hint="default"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1918" w:leftChars="304" w:hanging="1280" w:hangingChars="4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附件：</w:t>
      </w:r>
      <w:r>
        <w:rPr>
          <w:rFonts w:hint="default" w:ascii="Times New Roman" w:hAnsi="Times New Roman" w:eastAsia="仿宋_GB2312" w:cs="Times New Roman"/>
          <w:spacing w:val="11"/>
          <w:sz w:val="32"/>
          <w:szCs w:val="32"/>
          <w:lang w:val="en-US" w:eastAsia="zh-CN"/>
        </w:rPr>
        <w:t xml:space="preserve">1. </w:t>
      </w:r>
      <w:r>
        <w:rPr>
          <w:rFonts w:hint="default" w:ascii="Times New Roman" w:hAnsi="Times New Roman" w:eastAsia="仿宋_GB2312" w:cs="Times New Roman"/>
          <w:spacing w:val="0"/>
          <w:sz w:val="32"/>
          <w:szCs w:val="32"/>
          <w:lang w:val="en-US" w:eastAsia="zh-CN"/>
        </w:rPr>
        <w:t>2023年房建市政工程项目招投标第一次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双随机一公开</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抽查检查考评表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1600" w:firstLineChars="500"/>
        <w:contextualSpacing/>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57"/>
          <w:sz w:val="32"/>
          <w:szCs w:val="32"/>
          <w:lang w:val="en-US" w:eastAsia="zh-CN"/>
        </w:rPr>
        <w:t xml:space="preserve">. </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双随机一公开</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抽查项目问题记录表</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1540" w:firstLineChars="500"/>
        <w:contextualSpacing/>
        <w:textAlignment w:val="auto"/>
        <w:rPr>
          <w:rFonts w:hint="default" w:ascii="Times New Roman" w:hAnsi="Times New Roman" w:eastAsia="仿宋_GB2312" w:cs="Times New Roman"/>
          <w:spacing w:val="-6"/>
          <w:sz w:val="32"/>
          <w:szCs w:val="32"/>
          <w:lang w:val="en-US" w:eastAsia="zh-CN"/>
        </w:rPr>
      </w:pPr>
      <w:r>
        <w:rPr>
          <w:rFonts w:hint="default" w:ascii="Times New Roman" w:hAnsi="Times New Roman" w:eastAsia="仿宋_GB2312" w:cs="Times New Roman"/>
          <w:spacing w:val="-6"/>
          <w:sz w:val="32"/>
          <w:szCs w:val="32"/>
          <w:lang w:val="en-US" w:eastAsia="zh-CN"/>
        </w:rPr>
        <w:t>3. 房屋市政工程招标投标专项清理行动情况表</w:t>
      </w:r>
    </w:p>
    <w:p>
      <w:pPr>
        <w:keepNext w:val="0"/>
        <w:keepLines w:val="0"/>
        <w:pageBreakBefore w:val="0"/>
        <w:widowControl w:val="0"/>
        <w:kinsoku/>
        <w:wordWrap/>
        <w:overflowPunct/>
        <w:topLinePunct w:val="0"/>
        <w:autoSpaceDE/>
        <w:autoSpaceDN/>
        <w:bidi w:val="0"/>
        <w:adjustRightInd/>
        <w:snapToGrid w:val="0"/>
        <w:spacing w:line="600" w:lineRule="exact"/>
        <w:ind w:left="1916" w:leftChars="760" w:hanging="320" w:hangingChars="100"/>
        <w:contextualSpacing/>
        <w:textAlignment w:val="auto"/>
        <w:rPr>
          <w:rFonts w:hint="default" w:ascii="Times New Roman" w:hAnsi="Times New Roman" w:eastAsia="仿宋_GB2312" w:cs="Times New Roman"/>
          <w:spacing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cs="Times New Roman"/>
        </w:rPr>
      </w:pPr>
    </w:p>
    <w:p>
      <w:pPr>
        <w:keepNext w:val="0"/>
        <w:keepLines w:val="0"/>
        <w:pageBreakBefore w:val="0"/>
        <w:widowControl w:val="0"/>
        <w:tabs>
          <w:tab w:val="left" w:pos="7371"/>
        </w:tabs>
        <w:kinsoku/>
        <w:wordWrap/>
        <w:overflowPunct/>
        <w:topLinePunct w:val="0"/>
        <w:autoSpaceDE/>
        <w:autoSpaceDN/>
        <w:bidi w:val="0"/>
        <w:adjustRightInd/>
        <w:snapToGrid w:val="0"/>
        <w:spacing w:line="560" w:lineRule="exact"/>
        <w:ind w:right="320" w:firstLine="640" w:firstLineChars="200"/>
        <w:contextualSpacing/>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柳州市柳江区住房和城乡建设局   </w:t>
      </w:r>
    </w:p>
    <w:p>
      <w:pPr>
        <w:keepNext w:val="0"/>
        <w:keepLines w:val="0"/>
        <w:pageBreakBefore w:val="0"/>
        <w:widowControl w:val="0"/>
        <w:kinsoku/>
        <w:wordWrap/>
        <w:overflowPunct/>
        <w:topLinePunct w:val="0"/>
        <w:autoSpaceDE/>
        <w:autoSpaceDN/>
        <w:bidi w:val="0"/>
        <w:adjustRightInd/>
        <w:snapToGrid w:val="0"/>
        <w:spacing w:line="560" w:lineRule="exact"/>
        <w:ind w:firstLine="5120" w:firstLineChars="16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pPr>
        <w:pStyle w:val="8"/>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pStyle w:val="4"/>
        <w:rPr>
          <w:rFonts w:hint="default" w:ascii="Times New Roman" w:hAnsi="Times New Roman" w:eastAsia="仿宋_GB2312" w:cs="Times New Roman"/>
          <w:sz w:val="32"/>
          <w:szCs w:val="32"/>
        </w:rPr>
      </w:pPr>
    </w:p>
    <w:p>
      <w:pPr>
        <w:rPr>
          <w:rFonts w:hint="default"/>
        </w:rPr>
      </w:pPr>
    </w:p>
    <w:p>
      <w:pPr>
        <w:pStyle w:val="4"/>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500" w:lineRule="exact"/>
        <w:ind w:right="0" w:rightChars="0"/>
        <w:jc w:val="both"/>
        <w:textAlignment w:val="auto"/>
        <w:outlineLvl w:val="9"/>
        <w:rPr>
          <w:rFonts w:hint="default" w:ascii="Times New Roman" w:hAnsi="Times New Roman" w:eastAsia="仿宋_GB2312" w:cs="Times New Roman"/>
          <w:b w:val="0"/>
          <w:bCs w:val="0"/>
          <w:color w:val="000000"/>
          <w:spacing w:val="4"/>
          <w:sz w:val="32"/>
          <w:szCs w:val="32"/>
          <w:lang w:val="en-US" w:eastAsia="zh-CN"/>
        </w:rPr>
      </w:pPr>
      <w:r>
        <w:rPr>
          <w:rFonts w:hint="default" w:ascii="Times New Roman" w:hAnsi="Times New Roman" w:eastAsia="仿宋_GB2312" w:cs="Times New Roman"/>
          <w:b w:val="0"/>
          <w:bCs w:val="0"/>
          <w:color w:val="000000"/>
          <w:spacing w:val="4"/>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beforeLines="0" w:afterLines="0" w:line="500" w:lineRule="exact"/>
        <w:ind w:right="0" w:rightChars="0"/>
        <w:jc w:val="center"/>
        <w:textAlignment w:val="auto"/>
        <w:outlineLvl w:val="9"/>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2023年房建市政工程项目招投标</w:t>
      </w:r>
    </w:p>
    <w:p>
      <w:pPr>
        <w:ind w:firstLine="0" w:firstLineChars="0"/>
        <w:jc w:val="center"/>
        <w:rPr>
          <w:rFonts w:hint="default" w:ascii="Times New Roman" w:hAnsi="Times New Roman" w:eastAsia="黑体" w:cs="Times New Roman"/>
          <w:color w:val="000000"/>
          <w:kern w:val="2"/>
          <w:sz w:val="32"/>
          <w:szCs w:val="32"/>
          <w:lang w:val="en-US" w:eastAsia="zh-CN" w:bidi="ar-SA"/>
        </w:rPr>
      </w:pPr>
      <w:r>
        <w:rPr>
          <w:rFonts w:hint="default" w:ascii="Times New Roman" w:hAnsi="Times New Roman" w:eastAsia="黑体" w:cs="Times New Roman"/>
          <w:color w:val="000000"/>
          <w:kern w:val="2"/>
          <w:sz w:val="32"/>
          <w:szCs w:val="32"/>
          <w:lang w:val="en-US" w:eastAsia="zh-CN" w:bidi="ar-SA"/>
        </w:rPr>
        <w:t>第一次</w:t>
      </w:r>
      <w:r>
        <w:rPr>
          <w:rFonts w:hint="eastAsia" w:ascii="Times New Roman" w:hAnsi="Times New Roman" w:eastAsia="黑体" w:cs="Times New Roman"/>
          <w:color w:val="000000"/>
          <w:kern w:val="2"/>
          <w:sz w:val="32"/>
          <w:szCs w:val="32"/>
          <w:lang w:val="en-US" w:eastAsia="zh-CN" w:bidi="ar-SA"/>
        </w:rPr>
        <w:t>“</w:t>
      </w:r>
      <w:r>
        <w:rPr>
          <w:rFonts w:hint="default" w:ascii="Times New Roman" w:hAnsi="Times New Roman" w:eastAsia="黑体" w:cs="Times New Roman"/>
          <w:color w:val="000000"/>
          <w:kern w:val="2"/>
          <w:sz w:val="32"/>
          <w:szCs w:val="32"/>
          <w:lang w:val="en-US" w:eastAsia="zh-CN" w:bidi="ar-SA"/>
        </w:rPr>
        <w:t>双随机一公开</w:t>
      </w:r>
      <w:r>
        <w:rPr>
          <w:rFonts w:hint="eastAsia" w:ascii="Times New Roman" w:hAnsi="Times New Roman" w:eastAsia="黑体" w:cs="Times New Roman"/>
          <w:color w:val="000000"/>
          <w:kern w:val="2"/>
          <w:sz w:val="32"/>
          <w:szCs w:val="32"/>
          <w:lang w:val="en-US" w:eastAsia="zh-CN" w:bidi="ar-SA"/>
        </w:rPr>
        <w:t>”</w:t>
      </w:r>
      <w:r>
        <w:rPr>
          <w:rFonts w:hint="default" w:ascii="Times New Roman" w:hAnsi="Times New Roman" w:eastAsia="黑体" w:cs="Times New Roman"/>
          <w:color w:val="000000"/>
          <w:kern w:val="2"/>
          <w:sz w:val="32"/>
          <w:szCs w:val="32"/>
          <w:lang w:val="en-US" w:eastAsia="zh-CN" w:bidi="ar-SA"/>
        </w:rPr>
        <w:t>抽查检查考评表</w:t>
      </w:r>
    </w:p>
    <w:p>
      <w:pPr>
        <w:spacing w:line="320" w:lineRule="exact"/>
        <w:ind w:firstLine="720" w:firstLineChars="300"/>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p>
    <w:tbl>
      <w:tblPr>
        <w:tblStyle w:val="11"/>
        <w:tblW w:w="11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07"/>
        <w:gridCol w:w="489"/>
        <w:gridCol w:w="996"/>
        <w:gridCol w:w="1234"/>
        <w:gridCol w:w="65"/>
        <w:gridCol w:w="1202"/>
        <w:gridCol w:w="253"/>
        <w:gridCol w:w="194"/>
        <w:gridCol w:w="652"/>
        <w:gridCol w:w="459"/>
        <w:gridCol w:w="1680"/>
        <w:gridCol w:w="5"/>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11"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项目基本情况</w:t>
            </w:r>
          </w:p>
        </w:tc>
        <w:tc>
          <w:tcPr>
            <w:tcW w:w="180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项目名称</w:t>
            </w:r>
          </w:p>
        </w:tc>
        <w:tc>
          <w:tcPr>
            <w:tcW w:w="2784" w:type="dxa"/>
            <w:gridSpan w:val="4"/>
            <w:noWrap w:val="0"/>
            <w:vAlign w:val="center"/>
          </w:tcPr>
          <w:p>
            <w:pPr>
              <w:jc w:val="center"/>
              <w:rPr>
                <w:rFonts w:hint="default" w:ascii="Times New Roman" w:hAnsi="Times New Roman" w:cs="Times New Roman"/>
                <w:sz w:val="24"/>
                <w:szCs w:val="24"/>
              </w:rPr>
            </w:pPr>
          </w:p>
        </w:tc>
        <w:tc>
          <w:tcPr>
            <w:tcW w:w="1649" w:type="dxa"/>
            <w:gridSpan w:val="3"/>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招标人名称</w:t>
            </w:r>
          </w:p>
        </w:tc>
        <w:tc>
          <w:tcPr>
            <w:tcW w:w="4029" w:type="dxa"/>
            <w:gridSpan w:val="5"/>
            <w:noWrap w:val="0"/>
            <w:vAlign w:val="center"/>
          </w:tcPr>
          <w:p>
            <w:pPr>
              <w:spacing w:line="360" w:lineRule="exact"/>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11" w:type="dxa"/>
            <w:vMerge w:val="continue"/>
            <w:noWrap w:val="0"/>
            <w:vAlign w:val="center"/>
          </w:tcPr>
          <w:p>
            <w:pPr>
              <w:rPr>
                <w:rFonts w:hint="default" w:ascii="Times New Roman" w:hAnsi="Times New Roman" w:cs="Times New Roman"/>
              </w:rPr>
            </w:pPr>
          </w:p>
        </w:tc>
        <w:tc>
          <w:tcPr>
            <w:tcW w:w="1807" w:type="dxa"/>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招标代理机构</w:t>
            </w:r>
          </w:p>
        </w:tc>
        <w:tc>
          <w:tcPr>
            <w:tcW w:w="8462" w:type="dxa"/>
            <w:gridSpan w:val="12"/>
            <w:noWrap w:val="0"/>
            <w:vAlign w:val="center"/>
          </w:tcPr>
          <w:p>
            <w:pPr>
              <w:spacing w:line="360" w:lineRule="exact"/>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1807" w:type="dxa"/>
            <w:noWrap w:val="0"/>
            <w:vAlign w:val="center"/>
          </w:tcPr>
          <w:p>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项目总投资</w:t>
            </w:r>
          </w:p>
        </w:tc>
        <w:tc>
          <w:tcPr>
            <w:tcW w:w="2784" w:type="dxa"/>
            <w:gridSpan w:val="4"/>
            <w:noWrap w:val="0"/>
            <w:vAlign w:val="center"/>
          </w:tcPr>
          <w:p>
            <w:pPr>
              <w:spacing w:line="360" w:lineRule="exact"/>
              <w:rPr>
                <w:rFonts w:hint="default" w:ascii="Times New Roman" w:hAnsi="Times New Roman" w:cs="Times New Roman"/>
                <w:sz w:val="24"/>
                <w:szCs w:val="24"/>
              </w:rPr>
            </w:pPr>
          </w:p>
        </w:tc>
        <w:tc>
          <w:tcPr>
            <w:tcW w:w="1649" w:type="dxa"/>
            <w:gridSpan w:val="3"/>
            <w:noWrap w:val="0"/>
            <w:vAlign w:val="center"/>
          </w:tcPr>
          <w:p>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资金来源</w:t>
            </w:r>
          </w:p>
        </w:tc>
        <w:tc>
          <w:tcPr>
            <w:tcW w:w="4029" w:type="dxa"/>
            <w:gridSpan w:val="5"/>
            <w:noWrap w:val="0"/>
            <w:vAlign w:val="center"/>
          </w:tcPr>
          <w:p>
            <w:pPr>
              <w:spacing w:line="360" w:lineRule="exac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11" w:type="dxa"/>
            <w:noWrap w:val="0"/>
            <w:vAlign w:val="center"/>
          </w:tcPr>
          <w:p>
            <w:pPr>
              <w:spacing w:line="24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代理合同</w:t>
            </w:r>
          </w:p>
        </w:tc>
        <w:tc>
          <w:tcPr>
            <w:tcW w:w="6240"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是否签订代理合同：□是□否</w:t>
            </w:r>
          </w:p>
        </w:tc>
        <w:tc>
          <w:tcPr>
            <w:tcW w:w="4029"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合同代理酬金：</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11" w:type="dxa"/>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招标方式</w:t>
            </w:r>
          </w:p>
        </w:tc>
        <w:tc>
          <w:tcPr>
            <w:tcW w:w="4591"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□公开招标      □邀请招标</w:t>
            </w:r>
          </w:p>
        </w:tc>
        <w:tc>
          <w:tcPr>
            <w:tcW w:w="5678"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是否与核准方式一致：□是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1"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招标公告</w:t>
            </w:r>
          </w:p>
        </w:tc>
        <w:tc>
          <w:tcPr>
            <w:tcW w:w="4591"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公告发布时间：□少</w:t>
            </w:r>
            <w:r>
              <w:rPr>
                <w:rFonts w:hint="default" w:ascii="Times New Roman" w:hAnsi="Times New Roman" w:cs="Times New Roman"/>
                <w:sz w:val="24"/>
                <w:szCs w:val="24"/>
                <w:lang w:eastAsia="zh-CN"/>
              </w:rPr>
              <w:t>于</w:t>
            </w:r>
            <w:r>
              <w:rPr>
                <w:rFonts w:hint="default" w:ascii="Times New Roman" w:hAnsi="Times New Roman" w:cs="Times New Roman"/>
                <w:sz w:val="24"/>
                <w:szCs w:val="24"/>
              </w:rPr>
              <w:t>5日□不少于5日</w:t>
            </w:r>
          </w:p>
        </w:tc>
        <w:tc>
          <w:tcPr>
            <w:tcW w:w="5678"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color w:val="auto"/>
                <w:sz w:val="24"/>
                <w:szCs w:val="24"/>
                <w:lang w:val="en-US" w:eastAsia="zh-CN"/>
              </w:rPr>
              <w:t>建设单位是否签订廉政承诺：</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公告发布的媒介：</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中国招标投标公共服务平台□广西壮族自治区招标投标公共服务平台</w:t>
            </w:r>
          </w:p>
          <w:p>
            <w:pPr>
              <w:spacing w:line="360" w:lineRule="exact"/>
              <w:rPr>
                <w:rFonts w:hint="default" w:ascii="Times New Roman" w:hAnsi="Times New Roman" w:cs="Times New Roman"/>
                <w:sz w:val="24"/>
                <w:szCs w:val="24"/>
                <w:u w:val="single"/>
              </w:rPr>
            </w:pPr>
            <w:r>
              <w:rPr>
                <w:rFonts w:hint="default" w:ascii="Times New Roman" w:hAnsi="Times New Roman" w:cs="Times New Roman"/>
                <w:sz w:val="24"/>
                <w:szCs w:val="24"/>
              </w:rPr>
              <w:t xml:space="preserve">□柳州市公共资源交易中心网站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tcBorders>
              <w:top w:val="nil"/>
            </w:tcBorders>
            <w:noWrap w:val="0"/>
            <w:vAlign w:val="center"/>
          </w:tcPr>
          <w:p>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是否存在排斥潜在投标人条款：□是□否</w:t>
            </w:r>
          </w:p>
          <w:p>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（□企业注册地  □过高资质要求  □特定地域业绩及奖项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招标文件</w:t>
            </w:r>
          </w:p>
        </w:tc>
        <w:tc>
          <w:tcPr>
            <w:tcW w:w="10269" w:type="dxa"/>
            <w:gridSpan w:val="13"/>
            <w:noWrap w:val="0"/>
            <w:vAlign w:val="center"/>
          </w:tcPr>
          <w:p>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使用的标准文本：□区招标文件范本   □柳州市招标文件范本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6240" w:type="dxa"/>
            <w:gridSpan w:val="8"/>
            <w:noWrap w:val="0"/>
            <w:vAlign w:val="center"/>
          </w:tcPr>
          <w:p>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标准文件使用情况： □完全使用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部分使用  □不使用</w:t>
            </w:r>
          </w:p>
        </w:tc>
        <w:tc>
          <w:tcPr>
            <w:tcW w:w="4029" w:type="dxa"/>
            <w:gridSpan w:val="5"/>
            <w:noWrap w:val="0"/>
            <w:vAlign w:val="center"/>
          </w:tcPr>
          <w:p>
            <w:pPr>
              <w:spacing w:line="360" w:lineRule="exact"/>
              <w:jc w:val="left"/>
              <w:rPr>
                <w:rFonts w:hint="default" w:ascii="Times New Roman" w:hAnsi="Times New Roman" w:cs="Times New Roman"/>
                <w:sz w:val="24"/>
                <w:szCs w:val="24"/>
              </w:rPr>
            </w:pPr>
            <w:r>
              <w:rPr>
                <w:rFonts w:hint="default" w:ascii="Times New Roman" w:hAnsi="Times New Roman" w:cs="Times New Roman"/>
                <w:sz w:val="24"/>
                <w:szCs w:val="24"/>
              </w:rPr>
              <w:t>评标办法是否合理：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6240"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投标保证金收取额度是否超过2%或超过50万：</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 □否</w:t>
            </w:r>
          </w:p>
        </w:tc>
        <w:tc>
          <w:tcPr>
            <w:tcW w:w="4029"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投标保证金是否接受保函：□是□否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6240"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履约保证金收取额度是否超过10%：□是    □否</w:t>
            </w:r>
          </w:p>
        </w:tc>
        <w:tc>
          <w:tcPr>
            <w:tcW w:w="4029"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履约保证金是否接受保函：□是□否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6240"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质量保证金是否超过3%： □是  □否 </w:t>
            </w:r>
          </w:p>
        </w:tc>
        <w:tc>
          <w:tcPr>
            <w:tcW w:w="4029"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质量保证金是否接受保函：</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3292" w:type="dxa"/>
            <w:gridSpan w:val="3"/>
            <w:noWrap w:val="0"/>
            <w:vAlign w:val="center"/>
          </w:tcPr>
          <w:p>
            <w:pPr>
              <w:spacing w:line="36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招标文件、招标控制价是否加盖公章：</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  □否</w:t>
            </w:r>
          </w:p>
        </w:tc>
        <w:tc>
          <w:tcPr>
            <w:tcW w:w="3600" w:type="dxa"/>
            <w:gridSpan w:val="6"/>
            <w:noWrap w:val="0"/>
            <w:vAlign w:val="center"/>
          </w:tcPr>
          <w:p>
            <w:pPr>
              <w:spacing w:line="36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招标控制价是否加盖注册造价工程师执业章：</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□否</w:t>
            </w:r>
          </w:p>
        </w:tc>
        <w:tc>
          <w:tcPr>
            <w:tcW w:w="3377" w:type="dxa"/>
            <w:gridSpan w:val="4"/>
            <w:noWrap w:val="0"/>
            <w:vAlign w:val="center"/>
          </w:tcPr>
          <w:p>
            <w:pPr>
              <w:spacing w:line="360" w:lineRule="exact"/>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招标文件、招标控制价是否</w:t>
            </w:r>
            <w:r>
              <w:rPr>
                <w:rFonts w:hint="default" w:ascii="Times New Roman" w:hAnsi="Times New Roman" w:cs="Times New Roman"/>
                <w:color w:val="auto"/>
                <w:sz w:val="24"/>
                <w:szCs w:val="24"/>
                <w:lang w:eastAsia="zh-CN"/>
              </w:rPr>
              <w:t>同时发布：</w:t>
            </w:r>
            <w:r>
              <w:rPr>
                <w:rFonts w:hint="default" w:ascii="Times New Roman" w:hAnsi="Times New Roman" w:cs="Times New Roman"/>
                <w:color w:val="auto"/>
                <w:sz w:val="24"/>
                <w:szCs w:val="24"/>
              </w:rPr>
              <w:sym w:font="Wingdings 2" w:char="00A3"/>
            </w:r>
            <w:r>
              <w:rPr>
                <w:rFonts w:hint="default" w:ascii="Times New Roman" w:hAnsi="Times New Roman" w:cs="Times New Roman"/>
                <w:color w:val="auto"/>
                <w:sz w:val="24"/>
                <w:szCs w:val="24"/>
              </w:rPr>
              <w:t>是</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工程总承包项目招标文件是否明确招标需求（包括明确建设规模和建设标准）：□是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工程总承包项目是否</w:t>
            </w:r>
            <w:r>
              <w:rPr>
                <w:rFonts w:hint="default" w:ascii="Times New Roman" w:hAnsi="Times New Roman" w:cs="Times New Roman"/>
                <w:color w:val="auto"/>
                <w:sz w:val="24"/>
                <w:szCs w:val="24"/>
                <w:lang w:eastAsia="zh-CN"/>
              </w:rPr>
              <w:t>发布招标控制价：</w:t>
            </w:r>
            <w:r>
              <w:rPr>
                <w:rFonts w:hint="default" w:ascii="Times New Roman" w:hAnsi="Times New Roman" w:cs="Times New Roman"/>
                <w:color w:val="auto"/>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是否存在设定明显超出招标项目具体特点和实际需要的过高的资质资格、技术、商务条件或者业绩、奖项要求等</w:t>
            </w:r>
            <w:r>
              <w:rPr>
                <w:rFonts w:hint="default" w:ascii="Times New Roman" w:hAnsi="Times New Roman" w:cs="Times New Roman"/>
                <w:sz w:val="24"/>
                <w:szCs w:val="24"/>
                <w:lang w:eastAsia="zh-CN"/>
              </w:rPr>
              <w:t>不合理限制和壁垒的</w:t>
            </w:r>
            <w:r>
              <w:rPr>
                <w:rFonts w:hint="default" w:ascii="Times New Roman" w:hAnsi="Times New Roman" w:cs="Times New Roman"/>
                <w:sz w:val="24"/>
                <w:szCs w:val="24"/>
              </w:rPr>
              <w:t>问题：□是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是否违法将国家已经明令取消的资质资格作为投标条件、加分条件、中标条件；在国家已经明令取消资质资格的领域，将其他资质资格作为投标条件、加分条件、中标条件：□是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开标评标</w:t>
            </w:r>
          </w:p>
        </w:tc>
        <w:tc>
          <w:tcPr>
            <w:tcW w:w="4591"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是否采用电子招投标：□是  □否</w:t>
            </w:r>
          </w:p>
        </w:tc>
        <w:tc>
          <w:tcPr>
            <w:tcW w:w="5678"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是否进入公共资源交易中心集中交易：□是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□施工总承包项目：</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招标文件开始发出之日起至投标人提交投标文件截止之日止，是否少于20日： □是    □否</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□工程总承包项目：</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招标文件开始发出之日起至投标人提交投标文件截止之日</w:t>
            </w:r>
            <w:r>
              <w:rPr>
                <w:rFonts w:hint="default" w:ascii="Times New Roman" w:hAnsi="Times New Roman" w:cs="Times New Roman"/>
                <w:sz w:val="24"/>
                <w:szCs w:val="24"/>
                <w:lang w:val="en-US" w:eastAsia="zh-CN"/>
              </w:rPr>
              <w:t>止</w:t>
            </w:r>
            <w:r>
              <w:rPr>
                <w:rFonts w:hint="default" w:ascii="Times New Roman" w:hAnsi="Times New Roman" w:cs="Times New Roman"/>
                <w:sz w:val="24"/>
                <w:szCs w:val="24"/>
              </w:rPr>
              <w:t>，是否少于30日：</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□是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11" w:type="dxa"/>
            <w:vMerge w:val="continue"/>
            <w:noWrap w:val="0"/>
            <w:vAlign w:val="center"/>
          </w:tcPr>
          <w:p>
            <w:pPr>
              <w:rPr>
                <w:rFonts w:hint="default" w:ascii="Times New Roman" w:hAnsi="Times New Roman" w:cs="Times New Roman"/>
              </w:rPr>
            </w:pPr>
          </w:p>
        </w:tc>
        <w:tc>
          <w:tcPr>
            <w:tcW w:w="1807" w:type="dxa"/>
            <w:noWrap w:val="0"/>
            <w:vAlign w:val="center"/>
          </w:tcPr>
          <w:p>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开标评标地点</w:t>
            </w:r>
          </w:p>
        </w:tc>
        <w:tc>
          <w:tcPr>
            <w:tcW w:w="2784" w:type="dxa"/>
            <w:gridSpan w:val="4"/>
            <w:noWrap w:val="0"/>
            <w:vAlign w:val="center"/>
          </w:tcPr>
          <w:p>
            <w:pPr>
              <w:spacing w:line="360" w:lineRule="exact"/>
              <w:jc w:val="right"/>
              <w:rPr>
                <w:rFonts w:hint="default" w:ascii="Times New Roman" w:hAnsi="Times New Roman" w:cs="Times New Roman"/>
                <w:sz w:val="24"/>
                <w:szCs w:val="24"/>
              </w:rPr>
            </w:pPr>
          </w:p>
        </w:tc>
        <w:tc>
          <w:tcPr>
            <w:tcW w:w="5678" w:type="dxa"/>
            <w:gridSpan w:val="8"/>
            <w:noWrap w:val="0"/>
            <w:vAlign w:val="center"/>
          </w:tcPr>
          <w:p>
            <w:pPr>
              <w:spacing w:line="360" w:lineRule="exact"/>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开标时是否刷卡：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11" w:type="dxa"/>
            <w:vMerge w:val="continue"/>
            <w:noWrap w:val="0"/>
            <w:vAlign w:val="center"/>
          </w:tcPr>
          <w:p>
            <w:pPr>
              <w:rPr>
                <w:rFonts w:hint="default" w:ascii="Times New Roman" w:hAnsi="Times New Roman" w:cs="Times New Roman"/>
              </w:rPr>
            </w:pPr>
          </w:p>
        </w:tc>
        <w:tc>
          <w:tcPr>
            <w:tcW w:w="1807" w:type="dxa"/>
            <w:noWrap w:val="0"/>
            <w:vAlign w:val="center"/>
          </w:tcPr>
          <w:p>
            <w:pPr>
              <w:spacing w:line="280" w:lineRule="exact"/>
              <w:jc w:val="center"/>
              <w:rPr>
                <w:rFonts w:hint="default" w:ascii="Times New Roman" w:hAnsi="Times New Roman" w:cs="Times New Roman"/>
                <w:sz w:val="24"/>
                <w:szCs w:val="24"/>
              </w:rPr>
            </w:pPr>
            <w:r>
              <w:rPr>
                <w:rFonts w:hint="default" w:ascii="Times New Roman" w:hAnsi="Times New Roman" w:cs="Times New Roman"/>
                <w:sz w:val="24"/>
                <w:szCs w:val="24"/>
              </w:rPr>
              <w:t>招标代理是否入诚信库上岗</w:t>
            </w:r>
          </w:p>
        </w:tc>
        <w:tc>
          <w:tcPr>
            <w:tcW w:w="8462" w:type="dxa"/>
            <w:gridSpan w:val="12"/>
            <w:noWrap w:val="0"/>
            <w:vAlign w:val="center"/>
          </w:tcPr>
          <w:p>
            <w:pPr>
              <w:spacing w:line="360" w:lineRule="exact"/>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noWrap w:val="0"/>
            <w:vAlign w:val="center"/>
          </w:tcPr>
          <w:p>
            <w:pPr>
              <w:rPr>
                <w:rFonts w:hint="default" w:ascii="Times New Roman" w:hAnsi="Times New Roman" w:cs="Times New Roman"/>
              </w:rPr>
            </w:pPr>
          </w:p>
        </w:tc>
        <w:tc>
          <w:tcPr>
            <w:tcW w:w="1807" w:type="dxa"/>
            <w:vMerge w:val="restart"/>
            <w:noWrap w:val="0"/>
            <w:vAlign w:val="center"/>
          </w:tcPr>
          <w:p>
            <w:pPr>
              <w:spacing w:line="360" w:lineRule="exact"/>
              <w:jc w:val="center"/>
              <w:rPr>
                <w:rFonts w:hint="default" w:ascii="Times New Roman" w:hAnsi="Times New Roman" w:cs="Times New Roman"/>
                <w:sz w:val="24"/>
                <w:szCs w:val="24"/>
              </w:rPr>
            </w:pPr>
            <w:r>
              <w:rPr>
                <w:rFonts w:hint="default" w:ascii="Times New Roman" w:hAnsi="Times New Roman" w:cs="Times New Roman"/>
                <w:sz w:val="24"/>
                <w:szCs w:val="24"/>
              </w:rPr>
              <w:t>评标委员会</w:t>
            </w:r>
          </w:p>
        </w:tc>
        <w:tc>
          <w:tcPr>
            <w:tcW w:w="2784" w:type="dxa"/>
            <w:gridSpan w:val="4"/>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抽取方式：□语音□人工</w:t>
            </w:r>
          </w:p>
        </w:tc>
        <w:tc>
          <w:tcPr>
            <w:tcW w:w="5678"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抽取地点：□交易中心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1" w:type="dxa"/>
            <w:vMerge w:val="continue"/>
            <w:noWrap w:val="0"/>
            <w:vAlign w:val="center"/>
          </w:tcPr>
          <w:p>
            <w:pPr>
              <w:rPr>
                <w:rFonts w:hint="default" w:ascii="Times New Roman" w:hAnsi="Times New Roman" w:cs="Times New Roman"/>
              </w:rPr>
            </w:pPr>
          </w:p>
        </w:tc>
        <w:tc>
          <w:tcPr>
            <w:tcW w:w="1807" w:type="dxa"/>
            <w:vMerge w:val="continue"/>
            <w:noWrap w:val="0"/>
            <w:vAlign w:val="center"/>
          </w:tcPr>
          <w:p>
            <w:pPr>
              <w:rPr>
                <w:rFonts w:hint="default" w:ascii="Times New Roman" w:hAnsi="Times New Roman" w:cs="Times New Roman"/>
              </w:rPr>
            </w:pPr>
          </w:p>
        </w:tc>
        <w:tc>
          <w:tcPr>
            <w:tcW w:w="8462" w:type="dxa"/>
            <w:gridSpan w:val="12"/>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□施工总承包项目</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人员组成：评标委员会总人数</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人，其中招标人代表</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人，技术专家</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人，经济专家</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人。</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随机抽取的技术、经济专家合计人数是否超过成员总数三分之二：□是 □否</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采用清单计价的施工招标，经济专家是否超过成员总数的二分之一：□是 □否</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□工程总承包项目</w:t>
            </w:r>
          </w:p>
          <w:p>
            <w:pPr>
              <w:spacing w:after="0" w:line="360" w:lineRule="exact"/>
              <w:ind w:firstLine="0" w:firstLineChars="0"/>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rPr>
              <w:t>评标委员会总人数为</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u w:val="none"/>
              </w:rPr>
              <w:t xml:space="preserve"> </w:t>
            </w:r>
            <w:r>
              <w:rPr>
                <w:rFonts w:hint="default" w:ascii="Times New Roman" w:hAnsi="Times New Roman" w:eastAsia="宋体" w:cs="Times New Roman"/>
                <w:color w:val="000000"/>
                <w:kern w:val="2"/>
                <w:sz w:val="24"/>
                <w:szCs w:val="24"/>
              </w:rPr>
              <w:t>人，其中，招标人代表</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人；专家</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人，其中：</w:t>
            </w:r>
          </w:p>
          <w:p>
            <w:pPr>
              <w:spacing w:line="360" w:lineRule="exact"/>
              <w:rPr>
                <w:rFonts w:hint="default" w:ascii="Times New Roman" w:hAnsi="Times New Roman" w:cs="Times New Roman"/>
                <w:sz w:val="24"/>
                <w:szCs w:val="24"/>
              </w:rPr>
            </w:pPr>
            <w:r>
              <w:rPr>
                <w:rFonts w:hint="default" w:ascii="Times New Roman" w:hAnsi="Times New Roman" w:eastAsia="宋体" w:cs="Times New Roman"/>
                <w:color w:val="000000"/>
                <w:kern w:val="2"/>
                <w:sz w:val="24"/>
                <w:szCs w:val="24"/>
              </w:rPr>
              <w:t>经济：</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人；建筑：</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人；结构</w:t>
            </w:r>
            <w:r>
              <w:rPr>
                <w:rFonts w:hint="default" w:ascii="Times New Roman" w:hAnsi="Times New Roman" w:cs="Times New Roman"/>
                <w:kern w:val="2"/>
                <w:sz w:val="24"/>
                <w:szCs w:val="24"/>
                <w:lang w:eastAsia="zh-CN"/>
              </w:rPr>
              <w:t>：</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人；施工技术：</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人；其他：</w:t>
            </w:r>
            <w:r>
              <w:rPr>
                <w:rFonts w:hint="default" w:ascii="Times New Roman" w:hAnsi="Times New Roman" w:cs="Times New Roman"/>
                <w:sz w:val="24"/>
                <w:szCs w:val="24"/>
                <w:u w:val="single"/>
                <w:lang w:val="en-US" w:eastAsia="zh-CN"/>
              </w:rPr>
              <w:t xml:space="preserve">  </w:t>
            </w:r>
            <w:r>
              <w:rPr>
                <w:rFonts w:hint="default" w:ascii="Times New Roman" w:hAnsi="Times New Roman" w:eastAsia="宋体" w:cs="Times New Roman"/>
                <w:color w:val="000000"/>
                <w:kern w:val="2"/>
                <w:sz w:val="24"/>
                <w:szCs w:val="24"/>
              </w:rPr>
              <w:t>人。技术、经济专家合计人数是否超过成员总数三分之二：  □是  □否</w:t>
            </w:r>
          </w:p>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招标金额为5000万元及以上的，评标委员会是否为9人以上单数：□是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评标开始前是否与评标专家做好投标文件、开标资料等移交签收手续：□是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是否存在评标专家打分畸高或畸低，且无法说明正当理由的问题：□是</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11"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定标</w:t>
            </w:r>
          </w:p>
        </w:tc>
        <w:tc>
          <w:tcPr>
            <w:tcW w:w="5793" w:type="dxa"/>
            <w:gridSpan w:val="6"/>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是否在收到评标报告之日起3日内公示：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是□否</w:t>
            </w:r>
          </w:p>
        </w:tc>
        <w:tc>
          <w:tcPr>
            <w:tcW w:w="4476" w:type="dxa"/>
            <w:gridSpan w:val="7"/>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公示期是否少于3日：□是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项目是否按照《关于进一步推进招标投标监管制度改革的通知》（柳建管</w:t>
            </w:r>
            <w:r>
              <w:rPr>
                <w:rFonts w:hint="default" w:ascii="Times New Roman" w:hAnsi="Times New Roman" w:cs="Times New Roman"/>
                <w:color w:val="auto"/>
                <w:sz w:val="24"/>
                <w:szCs w:val="24"/>
              </w:rPr>
              <w:t>字</w:t>
            </w:r>
            <w:r>
              <w:rPr>
                <w:rFonts w:hint="default" w:ascii="Times New Roman" w:hAnsi="Times New Roman" w:cs="Times New Roman"/>
                <w:color w:val="auto"/>
                <w:sz w:val="24"/>
                <w:szCs w:val="24"/>
                <w:lang w:eastAsia="zh-CN"/>
              </w:rPr>
              <w:t>〔</w:t>
            </w:r>
            <w:r>
              <w:rPr>
                <w:rFonts w:hint="default" w:ascii="Times New Roman" w:hAnsi="Times New Roman" w:cs="Times New Roman"/>
                <w:color w:val="auto"/>
                <w:sz w:val="24"/>
                <w:szCs w:val="24"/>
              </w:rPr>
              <w:t>2018</w:t>
            </w:r>
            <w:r>
              <w:rPr>
                <w:rFonts w:hint="default" w:ascii="Times New Roman" w:hAnsi="Times New Roman" w:cs="Times New Roman"/>
                <w:color w:val="auto"/>
                <w:sz w:val="24"/>
                <w:szCs w:val="24"/>
                <w:lang w:eastAsia="zh-CN"/>
              </w:rPr>
              <w:t>〕</w:t>
            </w:r>
            <w:r>
              <w:rPr>
                <w:rFonts w:hint="default" w:ascii="Times New Roman" w:hAnsi="Times New Roman" w:cs="Times New Roman"/>
                <w:sz w:val="24"/>
                <w:szCs w:val="24"/>
              </w:rPr>
              <w:t>1号）（2018年1月1日起实施）要求公示中标候选人内容：□是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4526" w:type="dxa"/>
            <w:gridSpan w:val="4"/>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公示内容是否齐全：  □是    □否</w:t>
            </w:r>
          </w:p>
        </w:tc>
        <w:tc>
          <w:tcPr>
            <w:tcW w:w="5743" w:type="dxa"/>
            <w:gridSpan w:val="9"/>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中标价、中标候选人是否与评标报告一致：</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是否发布中标公告：</w:t>
            </w:r>
            <w:r>
              <w:rPr>
                <w:rFonts w:hint="default" w:ascii="Times New Roman" w:hAnsi="Times New Roman" w:eastAsia="Arial Unicode MS" w:cs="Times New Roman"/>
                <w:sz w:val="24"/>
                <w:szCs w:val="24"/>
                <w:lang w:bidi="ar-S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11" w:type="dxa"/>
            <w:vMerge w:val="restart"/>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书面报告</w:t>
            </w:r>
          </w:p>
        </w:tc>
        <w:tc>
          <w:tcPr>
            <w:tcW w:w="4591" w:type="dxa"/>
            <w:gridSpan w:val="5"/>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是否递交招投标情况书面报告：□是 □否</w:t>
            </w:r>
          </w:p>
        </w:tc>
        <w:tc>
          <w:tcPr>
            <w:tcW w:w="5678" w:type="dxa"/>
            <w:gridSpan w:val="8"/>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书面报告内容及资料是否完整：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是否在中标通知书发出之日起15日内递交书面报告：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continue"/>
            <w:noWrap w:val="0"/>
            <w:vAlign w:val="center"/>
          </w:tcPr>
          <w:p>
            <w:pPr>
              <w:rPr>
                <w:rFonts w:hint="default" w:ascii="Times New Roman" w:hAnsi="Times New Roman" w:cs="Times New Roman"/>
              </w:rPr>
            </w:pPr>
          </w:p>
        </w:tc>
        <w:tc>
          <w:tcPr>
            <w:tcW w:w="10269" w:type="dxa"/>
            <w:gridSpan w:val="13"/>
            <w:noWrap w:val="0"/>
            <w:vAlign w:val="center"/>
          </w:tcPr>
          <w:p>
            <w:pPr>
              <w:spacing w:line="360" w:lineRule="exact"/>
              <w:rPr>
                <w:rFonts w:hint="default" w:ascii="Times New Roman" w:hAnsi="Times New Roman" w:cs="Times New Roman"/>
                <w:sz w:val="24"/>
                <w:szCs w:val="24"/>
              </w:rPr>
            </w:pPr>
            <w:r>
              <w:rPr>
                <w:rFonts w:hint="default" w:ascii="Times New Roman" w:hAnsi="Times New Roman" w:cs="Times New Roman"/>
                <w:sz w:val="24"/>
                <w:szCs w:val="24"/>
              </w:rPr>
              <w:t>中标通知书是否加盖招标人公章：□是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1" w:type="dxa"/>
            <w:vMerge w:val="restart"/>
            <w:noWrap w:val="0"/>
            <w:vAlign w:val="center"/>
          </w:tcPr>
          <w:p>
            <w:pPr>
              <w:snapToGrid w:val="0"/>
              <w:spacing w:beforeLines="0" w:afterLines="0"/>
              <w:jc w:val="center"/>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eastAsia="zh-CN"/>
              </w:rPr>
              <w:t>其他</w:t>
            </w:r>
          </w:p>
        </w:tc>
        <w:tc>
          <w:tcPr>
            <w:tcW w:w="2296" w:type="dxa"/>
            <w:gridSpan w:val="2"/>
            <w:noWrap w:val="0"/>
            <w:vAlign w:val="center"/>
          </w:tcPr>
          <w:p>
            <w:pPr>
              <w:snapToGrid w:val="0"/>
              <w:spacing w:beforeLines="0" w:afterLines="0" w:line="240" w:lineRule="auto"/>
              <w:rPr>
                <w:rFonts w:hint="default" w:ascii="Times New Roman" w:hAnsi="Times New Roman" w:eastAsia="宋体" w:cs="Times New Roman"/>
                <w:sz w:val="24"/>
                <w:szCs w:val="24"/>
                <w:lang w:eastAsia="zh-CN"/>
              </w:rPr>
            </w:pPr>
            <w:r>
              <w:rPr>
                <w:rFonts w:hint="default" w:ascii="Times New Roman" w:hAnsi="Times New Roman" w:cs="Times New Roman"/>
                <w:color w:val="auto"/>
                <w:sz w:val="24"/>
                <w:szCs w:val="24"/>
                <w:lang w:val="en-US" w:eastAsia="zh-CN"/>
              </w:rPr>
              <w:t>招标人和中标人订立的书面合同是否合规</w:t>
            </w:r>
          </w:p>
        </w:tc>
        <w:tc>
          <w:tcPr>
            <w:tcW w:w="2295" w:type="dxa"/>
            <w:gridSpan w:val="3"/>
            <w:noWrap w:val="0"/>
            <w:vAlign w:val="center"/>
          </w:tcPr>
          <w:p>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sz w:val="24"/>
                <w:szCs w:val="24"/>
              </w:rPr>
              <w:t>□是□否</w:t>
            </w:r>
          </w:p>
        </w:tc>
        <w:tc>
          <w:tcPr>
            <w:tcW w:w="1455" w:type="dxa"/>
            <w:gridSpan w:val="2"/>
            <w:noWrap w:val="0"/>
            <w:vAlign w:val="center"/>
          </w:tcPr>
          <w:p>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sz w:val="24"/>
                <w:szCs w:val="24"/>
              </w:rPr>
              <w:t>招标档案资料是否齐全并及时归档</w:t>
            </w:r>
          </w:p>
        </w:tc>
        <w:tc>
          <w:tcPr>
            <w:tcW w:w="1305" w:type="dxa"/>
            <w:gridSpan w:val="3"/>
            <w:noWrap w:val="0"/>
            <w:vAlign w:val="center"/>
          </w:tcPr>
          <w:p>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sz w:val="24"/>
                <w:szCs w:val="24"/>
              </w:rPr>
              <w:t>□是□否</w:t>
            </w:r>
          </w:p>
        </w:tc>
        <w:tc>
          <w:tcPr>
            <w:tcW w:w="1685" w:type="dxa"/>
            <w:gridSpan w:val="2"/>
            <w:noWrap w:val="0"/>
            <w:vAlign w:val="center"/>
          </w:tcPr>
          <w:p>
            <w:pPr>
              <w:snapToGrid w:val="0"/>
              <w:spacing w:beforeLines="0" w:afterLines="0" w:line="240" w:lineRule="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是否存在对外地企业设置隐性门槛和壁垒</w:t>
            </w:r>
          </w:p>
        </w:tc>
        <w:tc>
          <w:tcPr>
            <w:tcW w:w="1233" w:type="dxa"/>
            <w:noWrap w:val="0"/>
            <w:vAlign w:val="center"/>
          </w:tcPr>
          <w:p>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color w:val="auto"/>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11" w:type="dxa"/>
            <w:vMerge w:val="continue"/>
            <w:noWrap w:val="0"/>
            <w:vAlign w:val="center"/>
          </w:tcPr>
          <w:p>
            <w:pPr>
              <w:snapToGrid w:val="0"/>
              <w:spacing w:beforeLines="0" w:afterLines="0"/>
              <w:jc w:val="center"/>
              <w:rPr>
                <w:rFonts w:hint="default" w:ascii="Times New Roman" w:hAnsi="Times New Roman" w:eastAsia="黑体" w:cs="Times New Roman"/>
                <w:sz w:val="24"/>
                <w:szCs w:val="24"/>
                <w:lang w:eastAsia="zh-CN"/>
              </w:rPr>
            </w:pPr>
          </w:p>
        </w:tc>
        <w:tc>
          <w:tcPr>
            <w:tcW w:w="2296" w:type="dxa"/>
            <w:gridSpan w:val="2"/>
            <w:noWrap w:val="0"/>
            <w:vAlign w:val="center"/>
          </w:tcPr>
          <w:p>
            <w:pPr>
              <w:snapToGrid w:val="0"/>
              <w:spacing w:beforeLines="0" w:afterLines="0" w:line="24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招标程序不规范、弄虚作假、围标串标</w:t>
            </w:r>
          </w:p>
        </w:tc>
        <w:tc>
          <w:tcPr>
            <w:tcW w:w="2295" w:type="dxa"/>
            <w:gridSpan w:val="3"/>
            <w:noWrap w:val="0"/>
            <w:vAlign w:val="center"/>
          </w:tcPr>
          <w:p>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□是□否</w:t>
            </w:r>
          </w:p>
        </w:tc>
        <w:tc>
          <w:tcPr>
            <w:tcW w:w="1455" w:type="dxa"/>
            <w:gridSpan w:val="2"/>
            <w:noWrap w:val="0"/>
            <w:vAlign w:val="center"/>
          </w:tcPr>
          <w:p>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存在领导干部插手工程建设项目招标投标</w:t>
            </w:r>
          </w:p>
        </w:tc>
        <w:tc>
          <w:tcPr>
            <w:tcW w:w="1305" w:type="dxa"/>
            <w:gridSpan w:val="3"/>
            <w:noWrap w:val="0"/>
            <w:vAlign w:val="center"/>
          </w:tcPr>
          <w:p>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rPr>
              <w:t>□是□否</w:t>
            </w:r>
          </w:p>
        </w:tc>
        <w:tc>
          <w:tcPr>
            <w:tcW w:w="1680" w:type="dxa"/>
            <w:noWrap w:val="0"/>
            <w:vAlign w:val="center"/>
          </w:tcPr>
          <w:p>
            <w:pPr>
              <w:snapToGrid w:val="0"/>
              <w:spacing w:beforeLines="0" w:afterLines="0" w:line="240" w:lineRule="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评标是否进行雷同性分析</w:t>
            </w:r>
          </w:p>
        </w:tc>
        <w:tc>
          <w:tcPr>
            <w:tcW w:w="1238" w:type="dxa"/>
            <w:gridSpan w:val="2"/>
            <w:noWrap w:val="0"/>
            <w:vAlign w:val="center"/>
          </w:tcPr>
          <w:p>
            <w:pPr>
              <w:snapToGrid w:val="0"/>
              <w:spacing w:beforeLines="0" w:afterLines="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811" w:type="dxa"/>
            <w:noWrap w:val="0"/>
            <w:vAlign w:val="center"/>
          </w:tcPr>
          <w:p>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存在问题</w:t>
            </w:r>
          </w:p>
        </w:tc>
        <w:tc>
          <w:tcPr>
            <w:tcW w:w="10269" w:type="dxa"/>
            <w:gridSpan w:val="13"/>
            <w:noWrap w:val="0"/>
            <w:vAlign w:val="center"/>
          </w:tcPr>
          <w:p>
            <w:pPr>
              <w:spacing w:line="360" w:lineRule="exact"/>
              <w:rPr>
                <w:rFonts w:hint="default" w:ascii="Times New Roman" w:hAnsi="Times New Roman" w:eastAsia="宋体" w:cs="Times New Roman"/>
                <w:sz w:val="24"/>
                <w:szCs w:val="24"/>
                <w:lang w:eastAsia="zh-CN"/>
              </w:rPr>
            </w:pPr>
          </w:p>
        </w:tc>
      </w:tr>
    </w:tbl>
    <w:p>
      <w:pPr>
        <w:spacing w:line="320" w:lineRule="exact"/>
        <w:ind w:firstLine="720" w:firstLineChars="300"/>
        <w:rPr>
          <w:rFonts w:hint="default" w:ascii="Times New Roman" w:hAnsi="Times New Roman" w:eastAsia="宋体" w:cs="Times New Roman"/>
          <w:sz w:val="24"/>
          <w:szCs w:val="24"/>
          <w:u w:val="single"/>
          <w:lang w:val="en-US" w:eastAsia="zh-CN"/>
        </w:rPr>
      </w:pPr>
      <w:r>
        <w:rPr>
          <w:rFonts w:hint="default" w:ascii="Times New Roman" w:hAnsi="Times New Roman" w:cs="Times New Roman"/>
          <w:sz w:val="24"/>
          <w:lang w:val="en-US" w:eastAsia="zh-CN"/>
        </w:rPr>
        <w:t xml:space="preserve">检查专家签字：                              </w:t>
      </w:r>
      <w:r>
        <w:rPr>
          <w:rFonts w:hint="default" w:ascii="Times New Roman" w:hAnsi="Times New Roman" w:cs="Times New Roman"/>
          <w:sz w:val="24"/>
          <w:szCs w:val="24"/>
        </w:rPr>
        <w:t xml:space="preserve"> 检查日期：</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cs="Times New Roman"/>
          <w:sz w:val="24"/>
          <w:lang w:val="en-US" w:eastAsia="zh-CN"/>
        </w:rPr>
        <w:sectPr>
          <w:footerReference r:id="rId3" w:type="default"/>
          <w:pgSz w:w="11906" w:h="16838"/>
          <w:pgMar w:top="2098" w:right="1474" w:bottom="1440" w:left="1587"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000000"/>
          <w:spacing w:val="4"/>
          <w:sz w:val="32"/>
          <w:szCs w:val="32"/>
          <w:lang w:val="en-US" w:eastAsia="zh-CN"/>
        </w:rPr>
        <w:t>附件2</w:t>
      </w:r>
      <w:r>
        <w:rPr>
          <w:rFonts w:hint="default" w:ascii="Times New Roman" w:hAnsi="Times New Roman" w:eastAsia="黑体" w:cs="Times New Roman"/>
          <w:b w:val="0"/>
          <w:bCs w:val="0"/>
          <w:color w:val="000000"/>
          <w:spacing w:val="4"/>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黑体" w:cs="Times New Roman"/>
          <w:sz w:val="32"/>
          <w:szCs w:val="32"/>
        </w:rPr>
      </w:pP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双随机一公开</w:t>
      </w:r>
      <w:r>
        <w:rPr>
          <w:rFonts w:hint="eastAsia"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lang w:val="en-US" w:eastAsia="zh-CN"/>
        </w:rPr>
        <w:t>抽查项目问题记录表</w:t>
      </w:r>
    </w:p>
    <w:tbl>
      <w:tblPr>
        <w:tblStyle w:val="11"/>
        <w:tblpPr w:leftFromText="180" w:rightFromText="180" w:vertAnchor="text" w:horzAnchor="page" w:tblpX="2004" w:tblpY="57"/>
        <w:tblOverlap w:val="never"/>
        <w:tblW w:w="7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4"/>
        <w:gridCol w:w="586"/>
        <w:gridCol w:w="2313"/>
        <w:gridCol w:w="1232"/>
        <w:gridCol w:w="3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招标项目名称</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c>
          <w:tcPr>
            <w:tcW w:w="1232" w:type="dxa"/>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招 标</w:t>
            </w:r>
          </w:p>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单 位</w:t>
            </w:r>
          </w:p>
        </w:tc>
        <w:tc>
          <w:tcPr>
            <w:tcW w:w="3263" w:type="dxa"/>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4" w:hRule="atLeast"/>
        </w:trPr>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招标项目代码</w:t>
            </w:r>
          </w:p>
        </w:tc>
        <w:tc>
          <w:tcPr>
            <w:tcW w:w="2313" w:type="dxa"/>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c>
          <w:tcPr>
            <w:tcW w:w="1232" w:type="dxa"/>
            <w:tcBorders>
              <w:top w:val="single" w:color="000000" w:sz="4" w:space="0"/>
              <w:left w:val="single" w:color="auto"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招标代理机构</w:t>
            </w:r>
          </w:p>
        </w:tc>
        <w:tc>
          <w:tcPr>
            <w:tcW w:w="3263" w:type="dxa"/>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000000"/>
                <w:kern w:val="0"/>
                <w:sz w:val="32"/>
                <w:szCs w:val="32"/>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序号</w:t>
            </w:r>
          </w:p>
        </w:tc>
        <w:tc>
          <w:tcPr>
            <w:tcW w:w="2899" w:type="dxa"/>
            <w:gridSpan w:val="2"/>
            <w:tcBorders>
              <w:top w:val="single" w:color="000000" w:sz="4" w:space="0"/>
              <w:left w:val="single" w:color="000000" w:sz="4" w:space="0"/>
              <w:bottom w:val="single" w:color="000000" w:sz="4" w:space="0"/>
              <w:right w:val="single" w:color="auto"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核查内容</w:t>
            </w:r>
          </w:p>
        </w:tc>
        <w:tc>
          <w:tcPr>
            <w:tcW w:w="4495" w:type="dxa"/>
            <w:gridSpan w:val="2"/>
            <w:tcBorders>
              <w:top w:val="single" w:color="000000" w:sz="4" w:space="0"/>
              <w:left w:val="single" w:color="auto" w:sz="4" w:space="0"/>
              <w:bottom w:val="single" w:color="000000" w:sz="4" w:space="0"/>
              <w:right w:val="single" w:color="000000" w:sz="4" w:space="0"/>
            </w:tcBorders>
            <w:noWrap w:val="0"/>
            <w:vAlign w:val="center"/>
          </w:tcPr>
          <w:p>
            <w:pPr>
              <w:pageBreakBefore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val="en-US" w:eastAsia="zh-CN"/>
              </w:rPr>
              <w:t>发现问题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SA"/>
              </w:rPr>
              <w:t>1</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2</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3</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4</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5</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9" w:hRule="atLeast"/>
        </w:trPr>
        <w:tc>
          <w:tcPr>
            <w:tcW w:w="5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cs="Times New Roman"/>
                <w:b/>
                <w:i w:val="0"/>
                <w:color w:val="000000"/>
                <w:sz w:val="24"/>
                <w:szCs w:val="24"/>
                <w:u w:val="none"/>
                <w:lang w:val="en-US" w:eastAsia="zh-CN"/>
              </w:rPr>
            </w:pPr>
            <w:r>
              <w:rPr>
                <w:rFonts w:hint="default" w:ascii="Times New Roman" w:hAnsi="Times New Roman" w:cs="Times New Roman"/>
                <w:b/>
                <w:i w:val="0"/>
                <w:color w:val="000000"/>
                <w:sz w:val="24"/>
                <w:szCs w:val="24"/>
                <w:u w:val="none"/>
                <w:lang w:val="en-US" w:eastAsia="zh-CN"/>
              </w:rPr>
              <w:t>6</w:t>
            </w:r>
          </w:p>
        </w:tc>
        <w:tc>
          <w:tcPr>
            <w:tcW w:w="289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4"/>
                <w:szCs w:val="24"/>
                <w:u w:val="none"/>
              </w:rPr>
            </w:pPr>
          </w:p>
        </w:tc>
        <w:tc>
          <w:tcPr>
            <w:tcW w:w="4495"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b/>
                <w:i w:val="0"/>
                <w:color w:val="000000"/>
                <w:sz w:val="24"/>
                <w:szCs w:val="24"/>
                <w:u w:val="none"/>
              </w:rPr>
            </w:pPr>
          </w:p>
        </w:tc>
      </w:tr>
    </w:tbl>
    <w:p>
      <w:pPr>
        <w:snapToGrid w:val="0"/>
        <w:spacing w:line="500" w:lineRule="exact"/>
        <w:rPr>
          <w:rFonts w:hint="default" w:ascii="Times New Roman" w:hAnsi="Times New Roman" w:eastAsia="黑体" w:cs="Times New Roman"/>
          <w:color w:val="000000"/>
          <w:spacing w:val="4"/>
          <w:sz w:val="32"/>
          <w:szCs w:val="32"/>
        </w:rPr>
      </w:pPr>
      <w:r>
        <w:rPr>
          <w:rFonts w:hint="default" w:ascii="Times New Roman" w:hAnsi="Times New Roman" w:eastAsia="仿宋_GB2312" w:cs="Times New Roman"/>
          <w:color w:val="000000"/>
          <w:kern w:val="0"/>
          <w:sz w:val="32"/>
          <w:szCs w:val="32"/>
          <w:lang w:val="en-US" w:eastAsia="zh-CN"/>
        </w:rPr>
        <w:t xml:space="preserve">检查专家签字：             </w:t>
      </w:r>
      <w:r>
        <w:rPr>
          <w:rFonts w:hint="default" w:ascii="Times New Roman" w:hAnsi="Times New Roman" w:eastAsia="仿宋_GB2312" w:cs="Times New Roman"/>
          <w:color w:val="000000"/>
          <w:kern w:val="0"/>
          <w:sz w:val="32"/>
          <w:szCs w:val="32"/>
        </w:rPr>
        <w:t>检查日期：</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月</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日</w:t>
      </w:r>
      <w:r>
        <w:rPr>
          <w:rFonts w:hint="default" w:ascii="Times New Roman" w:hAnsi="Times New Roman" w:eastAsia="仿宋_GB2312" w:cs="Times New Roman"/>
          <w:color w:val="000000"/>
          <w:kern w:val="0"/>
          <w:sz w:val="32"/>
          <w:szCs w:val="32"/>
          <w:lang w:val="en-US" w:eastAsia="zh-CN"/>
        </w:rPr>
        <w:t xml:space="preserve">   </w:t>
      </w:r>
    </w:p>
    <w:p>
      <w:pPr>
        <w:snapToGrid w:val="0"/>
        <w:spacing w:line="500" w:lineRule="exact"/>
        <w:rPr>
          <w:rFonts w:hint="default" w:ascii="Times New Roman" w:hAnsi="Times New Roman" w:eastAsia="黑体" w:cs="Times New Roman"/>
          <w:color w:val="000000"/>
          <w:spacing w:val="4"/>
          <w:sz w:val="32"/>
          <w:szCs w:val="32"/>
        </w:rPr>
      </w:pPr>
    </w:p>
    <w:p>
      <w:pPr>
        <w:pStyle w:val="2"/>
        <w:rPr>
          <w:rFonts w:hint="default" w:ascii="Times New Roman" w:hAnsi="Times New Roman" w:eastAsia="黑体" w:cs="Times New Roman"/>
          <w:color w:val="000000"/>
          <w:spacing w:val="4"/>
          <w:sz w:val="32"/>
          <w:szCs w:val="32"/>
        </w:rPr>
      </w:pPr>
    </w:p>
    <w:p>
      <w:pPr>
        <w:pStyle w:val="4"/>
        <w:rPr>
          <w:rFonts w:hint="default" w:ascii="Times New Roman" w:hAnsi="Times New Roman" w:eastAsia="黑体" w:cs="Times New Roman"/>
          <w:color w:val="000000"/>
          <w:spacing w:val="4"/>
          <w:sz w:val="32"/>
          <w:szCs w:val="32"/>
        </w:rPr>
      </w:pPr>
    </w:p>
    <w:p>
      <w:pP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540" w:lineRule="exact"/>
        <w:ind w:right="0" w:rightChars="0" w:firstLine="0" w:firstLineChars="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000000"/>
          <w:spacing w:val="4"/>
          <w:sz w:val="32"/>
          <w:szCs w:val="32"/>
        </w:rPr>
        <w:t>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right="0" w:rightChars="0" w:firstLine="0" w:firstLineChars="0"/>
        <w:jc w:val="center"/>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auto"/>
          <w:sz w:val="32"/>
          <w:szCs w:val="32"/>
          <w:lang w:val="en-US" w:eastAsia="zh-CN"/>
        </w:rPr>
        <w:t>房屋市政工程招标投标专项清理行动情况表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填报单位</w:t>
      </w:r>
      <w:r>
        <w:rPr>
          <w:rFonts w:hint="default" w:ascii="Times New Roman" w:hAnsi="Times New Roman" w:eastAsia="仿宋_GB2312" w:cs="Times New Roman"/>
          <w:color w:val="000000"/>
          <w:kern w:val="0"/>
          <w:sz w:val="32"/>
          <w:szCs w:val="32"/>
          <w:lang w:eastAsia="zh-CN"/>
        </w:rPr>
        <w:t>（盖章）</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2551"/>
        <w:gridCol w:w="1575"/>
        <w:gridCol w:w="1980"/>
        <w:gridCol w:w="1623"/>
        <w:gridCol w:w="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0" w:type="auto"/>
            <w:noWrap w:val="0"/>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序号</w:t>
            </w:r>
          </w:p>
        </w:tc>
        <w:tc>
          <w:tcPr>
            <w:tcW w:w="2551" w:type="dxa"/>
            <w:noWrap w:val="0"/>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项目名称</w:t>
            </w:r>
          </w:p>
        </w:tc>
        <w:tc>
          <w:tcPr>
            <w:tcW w:w="1575" w:type="dxa"/>
            <w:noWrap w:val="0"/>
            <w:vAlign w:val="center"/>
          </w:tcPr>
          <w:p>
            <w:pPr>
              <w:jc w:val="both"/>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是否存在围标串标、转标卖标</w:t>
            </w:r>
          </w:p>
        </w:tc>
        <w:tc>
          <w:tcPr>
            <w:tcW w:w="1980" w:type="dxa"/>
            <w:noWrap w:val="0"/>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是否存在挂靠借用资质</w:t>
            </w:r>
          </w:p>
        </w:tc>
        <w:tc>
          <w:tcPr>
            <w:tcW w:w="1623" w:type="dxa"/>
            <w:noWrap w:val="0"/>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000000"/>
                <w:sz w:val="32"/>
                <w:szCs w:val="32"/>
                <w:lang w:val="en-US" w:eastAsia="zh-CN"/>
              </w:rPr>
              <w:t>招</w:t>
            </w:r>
            <w:r>
              <w:rPr>
                <w:rFonts w:hint="default" w:ascii="Times New Roman" w:hAnsi="Times New Roman" w:eastAsia="仿宋_GB2312" w:cs="Times New Roman"/>
                <w:color w:val="000000"/>
                <w:sz w:val="28"/>
                <w:szCs w:val="28"/>
                <w:lang w:val="en-US" w:eastAsia="zh-CN"/>
              </w:rPr>
              <w:t>投标代理机构违法违规操控</w:t>
            </w:r>
          </w:p>
        </w:tc>
        <w:tc>
          <w:tcPr>
            <w:tcW w:w="0" w:type="auto"/>
            <w:noWrap w:val="0"/>
            <w:vAlign w:val="center"/>
          </w:tcPr>
          <w:p>
            <w:pPr>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1</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2</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3</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4</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5</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6</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7</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8</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9</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lang w:val="en-US" w:eastAsia="zh-CN"/>
              </w:rPr>
            </w:pPr>
            <w:r>
              <w:rPr>
                <w:rFonts w:hint="default" w:ascii="Times New Roman" w:hAnsi="Times New Roman" w:eastAsia="方正仿宋_GBK" w:cs="Times New Roman"/>
                <w:color w:val="000000"/>
                <w:kern w:val="0"/>
                <w:sz w:val="28"/>
                <w:szCs w:val="28"/>
                <w:vertAlign w:val="baseline"/>
                <w:lang w:val="en-US" w:eastAsia="zh-CN"/>
              </w:rPr>
              <w:t>10</w:t>
            </w:r>
          </w:p>
        </w:tc>
        <w:tc>
          <w:tcPr>
            <w:tcW w:w="2551"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575"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980"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1623" w:type="dxa"/>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c>
          <w:tcPr>
            <w:tcW w:w="0" w:type="auto"/>
            <w:noWrap w:val="0"/>
            <w:vAlign w:val="center"/>
          </w:tcPr>
          <w:p>
            <w:pPr>
              <w:spacing w:line="590" w:lineRule="exact"/>
              <w:jc w:val="center"/>
              <w:rPr>
                <w:rFonts w:hint="default" w:ascii="Times New Roman" w:hAnsi="Times New Roman" w:eastAsia="方正仿宋_GBK" w:cs="Times New Roman"/>
                <w:color w:val="000000"/>
                <w:kern w:val="0"/>
                <w:sz w:val="28"/>
                <w:szCs w:val="28"/>
                <w:vertAlign w:val="baseline"/>
              </w:rPr>
            </w:pPr>
          </w:p>
        </w:tc>
      </w:tr>
    </w:tbl>
    <w:p>
      <w:pPr>
        <w:snapToGrid w:val="0"/>
        <w:spacing w:line="500" w:lineRule="exact"/>
        <w:rPr>
          <w:rFonts w:hint="default" w:ascii="Times New Roman" w:hAnsi="Times New Roman" w:eastAsia="黑体" w:cs="Times New Roman"/>
          <w:color w:val="000000"/>
          <w:spacing w:val="4"/>
          <w:sz w:val="32"/>
          <w:szCs w:val="32"/>
        </w:rPr>
      </w:pPr>
      <w:r>
        <w:rPr>
          <w:rFonts w:hint="default" w:ascii="Times New Roman" w:hAnsi="Times New Roman" w:eastAsia="仿宋_GB2312" w:cs="Times New Roman"/>
          <w:color w:val="000000"/>
          <w:kern w:val="0"/>
          <w:sz w:val="32"/>
          <w:szCs w:val="32"/>
        </w:rPr>
        <w:t>填报人：</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 xml:space="preserve">  联系电话：</w:t>
      </w:r>
    </w:p>
    <w:p>
      <w:pPr>
        <w:snapToGrid w:val="0"/>
        <w:spacing w:line="500" w:lineRule="exact"/>
        <w:rPr>
          <w:rFonts w:hint="default" w:ascii="Times New Roman" w:hAnsi="Times New Roman" w:eastAsia="黑体" w:cs="Times New Roman"/>
          <w:color w:val="000000"/>
          <w:spacing w:val="4"/>
          <w:sz w:val="32"/>
          <w:szCs w:val="32"/>
        </w:rPr>
      </w:pPr>
    </w:p>
    <w:p>
      <w:pPr>
        <w:snapToGrid w:val="0"/>
        <w:spacing w:line="500" w:lineRule="exact"/>
        <w:rPr>
          <w:rFonts w:hint="default" w:ascii="Times New Roman" w:hAnsi="Times New Roman" w:eastAsia="黑体" w:cs="Times New Roman"/>
          <w:color w:val="000000"/>
          <w:spacing w:val="4"/>
          <w:sz w:val="32"/>
          <w:szCs w:val="32"/>
        </w:rPr>
      </w:pPr>
    </w:p>
    <w:p>
      <w:pPr>
        <w:rPr>
          <w:rFonts w:hint="default" w:ascii="Times New Roman" w:hAnsi="Times New Roman" w:eastAsia="仿宋_GB2312" w:cs="Times New Roman"/>
          <w:sz w:val="32"/>
          <w:szCs w:val="32"/>
        </w:rPr>
      </w:pPr>
    </w:p>
    <w:p>
      <w:pPr>
        <w:pStyle w:val="8"/>
        <w:rPr>
          <w:rFonts w:hint="default" w:ascii="Times New Roman" w:hAnsi="Times New Roman" w:cs="Times New Roman"/>
        </w:rPr>
      </w:pPr>
    </w:p>
    <w:p>
      <w:pPr>
        <w:rPr>
          <w:rFonts w:hint="default" w:ascii="Times New Roman" w:hAnsi="Times New Roman" w:cs="Times New Roman"/>
        </w:rPr>
      </w:pPr>
    </w:p>
    <w:p>
      <w:pPr>
        <w:pStyle w:val="8"/>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lang w:eastAsia="zh-CN"/>
        </w:rPr>
      </w:pPr>
    </w:p>
    <w:sectPr>
      <w:footerReference r:id="rId4" w:type="default"/>
      <w:footerReference r:id="rId5" w:type="even"/>
      <w:pgSz w:w="11906" w:h="16838"/>
      <w:pgMar w:top="1440" w:right="1588" w:bottom="1440"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ind w:left="360"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numPr>
        <w:ilvl w:val="0"/>
        <w:numId w:val="1"/>
      </w:numPr>
    </w:pPr>
    <w:sdt>
      <w:sdtPr>
        <w:id w:val="1326010294"/>
        <w:docPartObj>
          <w:docPartGallery w:val="autotext"/>
        </w:docPartObj>
      </w:sdtPr>
      <w:sdtContent>
        <w:r>
          <w:rPr>
            <w:rFonts w:hint="eastAsia"/>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 xml:space="preserve"> —</w:t>
        </w:r>
      </w:sdtContent>
    </w:sdt>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B075F2"/>
    <w:multiLevelType w:val="singleLevel"/>
    <w:tmpl w:val="05B075F2"/>
    <w:lvl w:ilvl="0" w:tentative="0">
      <w:start w:val="1"/>
      <w:numFmt w:val="chineseCounting"/>
      <w:suff w:val="nothing"/>
      <w:lvlText w:val="（%1）"/>
      <w:lvlJc w:val="left"/>
      <w:rPr>
        <w:rFonts w:hint="eastAsia"/>
      </w:rPr>
    </w:lvl>
  </w:abstractNum>
  <w:abstractNum w:abstractNumId="1">
    <w:nsid w:val="6BAC7147"/>
    <w:multiLevelType w:val="multilevel"/>
    <w:tmpl w:val="6BAC7147"/>
    <w:lvl w:ilvl="0" w:tentative="0">
      <w:start w:val="5"/>
      <w:numFmt w:val="bullet"/>
      <w:lvlText w:val="—"/>
      <w:lvlJc w:val="left"/>
      <w:pPr>
        <w:ind w:left="360" w:hanging="360"/>
      </w:pPr>
      <w:rPr>
        <w:rFonts w:hint="eastAsia" w:ascii="仿宋_GB2312" w:hAnsi="宋体" w:eastAsia="仿宋_GB2312" w:cstheme="minorBidi"/>
        <w:sz w:val="32"/>
        <w:szCs w:val="3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iZmQxY2E4YmNjYjAxNzJjYzFhMWE1MTZmMjRkYmQifQ=="/>
  </w:docVars>
  <w:rsids>
    <w:rsidRoot w:val="0071240E"/>
    <w:rsid w:val="001A01D8"/>
    <w:rsid w:val="003E01D1"/>
    <w:rsid w:val="005407CB"/>
    <w:rsid w:val="0055144B"/>
    <w:rsid w:val="0071240E"/>
    <w:rsid w:val="008C4D9B"/>
    <w:rsid w:val="008F56D6"/>
    <w:rsid w:val="009B0FE9"/>
    <w:rsid w:val="00A04413"/>
    <w:rsid w:val="00B955F1"/>
    <w:rsid w:val="00C64E21"/>
    <w:rsid w:val="00CA7E9D"/>
    <w:rsid w:val="00E1236C"/>
    <w:rsid w:val="00FC4770"/>
    <w:rsid w:val="016C40D9"/>
    <w:rsid w:val="02767217"/>
    <w:rsid w:val="04207C7C"/>
    <w:rsid w:val="06CC09FB"/>
    <w:rsid w:val="07865D89"/>
    <w:rsid w:val="081408F5"/>
    <w:rsid w:val="082772DB"/>
    <w:rsid w:val="0A4A3E4A"/>
    <w:rsid w:val="0DB6537C"/>
    <w:rsid w:val="0F351E35"/>
    <w:rsid w:val="10262C63"/>
    <w:rsid w:val="10340E6F"/>
    <w:rsid w:val="104D01F0"/>
    <w:rsid w:val="129D6741"/>
    <w:rsid w:val="19B915C3"/>
    <w:rsid w:val="19C257AA"/>
    <w:rsid w:val="1AC01458"/>
    <w:rsid w:val="1B8D3479"/>
    <w:rsid w:val="1D3210D3"/>
    <w:rsid w:val="1E2A42A4"/>
    <w:rsid w:val="1EA56293"/>
    <w:rsid w:val="22A50326"/>
    <w:rsid w:val="27EC61F1"/>
    <w:rsid w:val="286E36E3"/>
    <w:rsid w:val="2C214A8E"/>
    <w:rsid w:val="2C402975"/>
    <w:rsid w:val="2C814F16"/>
    <w:rsid w:val="2D6D72A5"/>
    <w:rsid w:val="2D88240F"/>
    <w:rsid w:val="2DFD0D2D"/>
    <w:rsid w:val="2E9155F5"/>
    <w:rsid w:val="30B22467"/>
    <w:rsid w:val="30FC4FFC"/>
    <w:rsid w:val="32456B7D"/>
    <w:rsid w:val="365C72A5"/>
    <w:rsid w:val="384B46B7"/>
    <w:rsid w:val="388360F4"/>
    <w:rsid w:val="38893A98"/>
    <w:rsid w:val="39A74788"/>
    <w:rsid w:val="3B3515A7"/>
    <w:rsid w:val="3B351BBE"/>
    <w:rsid w:val="3C1F1F2B"/>
    <w:rsid w:val="3EAA1378"/>
    <w:rsid w:val="3EB21410"/>
    <w:rsid w:val="403511A5"/>
    <w:rsid w:val="425C75E4"/>
    <w:rsid w:val="44AF10BA"/>
    <w:rsid w:val="451D4CDD"/>
    <w:rsid w:val="45781E2A"/>
    <w:rsid w:val="45BE493C"/>
    <w:rsid w:val="45D33CA8"/>
    <w:rsid w:val="46BE14E0"/>
    <w:rsid w:val="4B8F145A"/>
    <w:rsid w:val="4CB94479"/>
    <w:rsid w:val="4EBC483D"/>
    <w:rsid w:val="4EE71212"/>
    <w:rsid w:val="50BB64D4"/>
    <w:rsid w:val="50BD17F0"/>
    <w:rsid w:val="52040733"/>
    <w:rsid w:val="536A6F2B"/>
    <w:rsid w:val="53785A70"/>
    <w:rsid w:val="548B0A05"/>
    <w:rsid w:val="566D4FC7"/>
    <w:rsid w:val="56F8232A"/>
    <w:rsid w:val="576B76C7"/>
    <w:rsid w:val="58105FEA"/>
    <w:rsid w:val="58BC70D7"/>
    <w:rsid w:val="593078C1"/>
    <w:rsid w:val="5A533C21"/>
    <w:rsid w:val="5B1E7D8B"/>
    <w:rsid w:val="5C215B2E"/>
    <w:rsid w:val="5C602BA4"/>
    <w:rsid w:val="5DF662B2"/>
    <w:rsid w:val="5EF15E9E"/>
    <w:rsid w:val="5F440D78"/>
    <w:rsid w:val="5F4C105F"/>
    <w:rsid w:val="60E9520A"/>
    <w:rsid w:val="621C5D5C"/>
    <w:rsid w:val="62ED1A1A"/>
    <w:rsid w:val="661641E1"/>
    <w:rsid w:val="66474E38"/>
    <w:rsid w:val="6B8A7E93"/>
    <w:rsid w:val="6E0F3D33"/>
    <w:rsid w:val="6F571E61"/>
    <w:rsid w:val="705C73FC"/>
    <w:rsid w:val="71E154C7"/>
    <w:rsid w:val="75104BA8"/>
    <w:rsid w:val="755B0BED"/>
    <w:rsid w:val="77966B56"/>
    <w:rsid w:val="78BD6971"/>
    <w:rsid w:val="793819D8"/>
    <w:rsid w:val="7C695805"/>
    <w:rsid w:val="7E835FD4"/>
    <w:rsid w:val="7E8B73C8"/>
    <w:rsid w:val="7FAB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2083"/>
      </w:tabs>
      <w:ind w:firstLine="420"/>
    </w:pPr>
    <w:rPr>
      <w:rFonts w:hint="eastAsia" w:ascii="仿宋_GB2312" w:eastAsia="仿宋_GB2312"/>
      <w:sz w:val="32"/>
      <w:szCs w:val="24"/>
    </w:rPr>
  </w:style>
  <w:style w:type="paragraph" w:styleId="3">
    <w:name w:val="Body Text Indent"/>
    <w:basedOn w:val="1"/>
    <w:next w:val="2"/>
    <w:qFormat/>
    <w:uiPriority w:val="0"/>
    <w:pPr>
      <w:tabs>
        <w:tab w:val="left" w:pos="2083"/>
      </w:tabs>
      <w:spacing w:before="100" w:beforeAutospacing="1" w:after="100" w:afterAutospacing="1"/>
      <w:ind w:firstLine="840" w:firstLineChars="300"/>
    </w:pPr>
    <w:rPr>
      <w:rFonts w:ascii="宋体" w:hAnsi="宋体"/>
      <w:sz w:val="28"/>
      <w:szCs w:val="28"/>
    </w:rPr>
  </w:style>
  <w:style w:type="paragraph" w:styleId="4">
    <w:name w:val="Body Text First Indent"/>
    <w:basedOn w:val="5"/>
    <w:next w:val="1"/>
    <w:qFormat/>
    <w:uiPriority w:val="0"/>
    <w:pPr>
      <w:spacing w:line="360" w:lineRule="auto"/>
      <w:ind w:firstLine="720" w:firstLineChars="200"/>
      <w:jc w:val="left"/>
    </w:pPr>
    <w:rPr>
      <w:rFonts w:ascii="宋体" w:hAnsi="宋体" w:cs="宋体"/>
      <w:sz w:val="28"/>
      <w:szCs w:val="22"/>
    </w:rPr>
  </w:style>
  <w:style w:type="paragraph" w:styleId="5">
    <w:name w:val="Body Text"/>
    <w:basedOn w:val="1"/>
    <w:next w:val="6"/>
    <w:qFormat/>
    <w:uiPriority w:val="0"/>
    <w:pPr>
      <w:jc w:val="center"/>
    </w:pPr>
    <w:rPr>
      <w:b/>
      <w:bCs/>
      <w:sz w:val="44"/>
    </w:rPr>
  </w:style>
  <w:style w:type="paragraph" w:styleId="6">
    <w:name w:val="Title"/>
    <w:basedOn w:val="1"/>
    <w:next w:val="1"/>
    <w:qFormat/>
    <w:uiPriority w:val="0"/>
    <w:pPr>
      <w:spacing w:before="240" w:after="60"/>
      <w:jc w:val="center"/>
    </w:pPr>
    <w:rPr>
      <w:rFonts w:hint="default" w:ascii="Cambria" w:hAnsi="Cambria" w:eastAsia="宋体" w:cs="宋体"/>
      <w:b/>
      <w:sz w:val="21"/>
      <w:szCs w:val="24"/>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Default"/>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6">
    <w:name w:val="页眉 Char"/>
    <w:basedOn w:val="13"/>
    <w:link w:val="9"/>
    <w:semiHidden/>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NormalCharacter"/>
    <w:link w:val="19"/>
    <w:semiHidden/>
    <w:qFormat/>
    <w:uiPriority w:val="0"/>
    <w:rPr>
      <w:rFonts w:asciiTheme="minorHAnsi" w:hAnsiTheme="minorHAnsi" w:eastAsiaTheme="minorEastAsia" w:cstheme="minorBidi"/>
      <w:kern w:val="2"/>
      <w:sz w:val="21"/>
      <w:szCs w:val="22"/>
      <w:lang w:val="en-US" w:eastAsia="zh-CN" w:bidi="ar-SA"/>
    </w:rPr>
  </w:style>
  <w:style w:type="paragraph" w:customStyle="1" w:styleId="19">
    <w:name w:val="UserStyle_6"/>
    <w:basedOn w:val="1"/>
    <w:next w:val="1"/>
    <w:link w:val="18"/>
    <w:qFormat/>
    <w:uiPriority w:val="0"/>
    <w:pPr>
      <w:spacing w:after="160" w:line="240" w:lineRule="exact"/>
      <w:jc w:val="both"/>
      <w:textAlignment w:val="baseline"/>
    </w:pPr>
    <w:rPr>
      <w:rFonts w:ascii="Verdana" w:hAnsi="Verdana" w:eastAsia="宋体"/>
      <w:kern w:val="0"/>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318</Words>
  <Characters>332</Characters>
  <Lines>1</Lines>
  <Paragraphs>1</Paragraphs>
  <TotalTime>0</TotalTime>
  <ScaleCrop>false</ScaleCrop>
  <LinksUpToDate>false</LinksUpToDate>
  <CharactersWithSpaces>344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2021-11-02T08:48:00Z</dcterms:created>
  <dc:creator>微软用户</dc:creator>
  <cp:lastModifiedBy>Administrator</cp:lastModifiedBy>
  <cp:lastPrinted>2023-09-14T10:10:00Z</cp:lastPrinted>
  <dcterms:modified xsi:type="dcterms:W3CDTF">2023-09-25T03:13:14Z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CC1DC78DC6764C6BB7608CD393972DF7_13</vt:lpwstr>
  </property>
</Properties>
</file>