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  <w:t>柳江区202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32"/>
          <w:szCs w:val="32"/>
        </w:rPr>
        <w:t>年耕地地力保护补贴项目目标任务表</w:t>
      </w:r>
    </w:p>
    <w:tbl>
      <w:tblPr>
        <w:tblStyle w:val="5"/>
        <w:tblW w:w="10587" w:type="dxa"/>
        <w:tblInd w:w="-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10"/>
        <w:gridCol w:w="4200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一级目标任务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二级目标任务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三级目标任务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目标任务值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产出目标任务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数量目标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符合条件的补贴对象发放率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完成发放补贴资金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质量目标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补贴对象审核准确率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补贴面积审核准确率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补贴资金发放程序规范性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时效目标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区、镇制定印发年度实施方案时间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30日前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补贴资金发放到户时间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成本目标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补贴资金发放工作成本控制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一次性审核、公示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、发放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效益目标任务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经济效益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增加农民转移性收入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按农户数测算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降低农户种植粮食成本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按粮食面积测算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社会效益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促进耕地保护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完成年度目标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调动农民保护和提高耕地质量积极性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耕地质量不下降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粮食播种面积（含复种）稳定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完成责任目标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粮食总产稳定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完成责任目标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约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生态效益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推进田间有机物利用覆盖（含绿肥）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化肥使用量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实现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零增长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可持续影响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保障粮食安全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促进“藏粮于地”，确保粮食自给率稳定，口粮自给。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满意度目标任务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服务对象满意度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补贴对象对补贴政策知晓度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20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农民对补贴政策落实满意度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90%以上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072316-27FD-4C05-A28A-7A5DBF4D92B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0BCA801-4B4B-41AB-B683-EFFE2E5902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BB65A7-92BF-41A5-9454-C401C5FE69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730F2"/>
    <w:multiLevelType w:val="singleLevel"/>
    <w:tmpl w:val="91A730F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57721B2"/>
    <w:multiLevelType w:val="singleLevel"/>
    <w:tmpl w:val="D57721B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89088C0"/>
    <w:multiLevelType w:val="singleLevel"/>
    <w:tmpl w:val="089088C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79758C"/>
    <w:multiLevelType w:val="singleLevel"/>
    <w:tmpl w:val="4979758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9E2803F"/>
    <w:multiLevelType w:val="singleLevel"/>
    <w:tmpl w:val="69E2803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770B42A"/>
    <w:multiLevelType w:val="singleLevel"/>
    <w:tmpl w:val="7770B42A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6C87593E"/>
    <w:rsid w:val="6C8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2024-03-15T09:58:00Z</dcterms:created>
  <dc:creator>ē</dc:creator>
  <cp:lastModifiedBy>ē</cp:lastModifiedBy>
  <dcterms:modified xsi:type="dcterms:W3CDTF">2024-03-15T09:59:27Z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B6DF7B7546E2404F9125D8E6CDC3D974_11</vt:lpwstr>
  </property>
</Properties>
</file>