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topMargin">
                  <wp:posOffset>1583690</wp:posOffset>
                </wp:positionV>
                <wp:extent cx="5643880" cy="4413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88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小标宋简体" w:hAnsi="Times New Roman" w:eastAsia="方正小标宋简体" w:cs="Times New Roman"/>
                                <w:color w:val="FFFFFF" w:themeColor="background1"/>
                                <w:spacing w:val="20"/>
                                <w:sz w:val="72"/>
                                <w:szCs w:val="7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简体" w:hAnsi="Times New Roman" w:eastAsia="方正小标宋简体" w:cs="Times New Roman"/>
                                <w:color w:val="FFFFFF" w:themeColor="background1"/>
                                <w:spacing w:val="20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柳州市</w:t>
                            </w:r>
                            <w:r>
                              <w:rPr>
                                <w:rFonts w:hint="eastAsia" w:ascii="方正小标宋简体" w:eastAsia="方正小标宋简体" w:cs="Times New Roman"/>
                                <w:color w:val="FFFFFF" w:themeColor="background1"/>
                                <w:spacing w:val="20"/>
                                <w:sz w:val="56"/>
                                <w:szCs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柳江区人民政府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8pt;margin-top:124.7pt;height:34.75pt;width:444.4pt;mso-position-horizontal-relative:page;mso-position-vertical-relative:page;z-index:251660288;mso-width-relative:page;mso-height-relative:page;" filled="f" stroked="f" coordsize="21600,21600" o:gfxdata="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aom&#10;c9wAAAAKAQAADwAAAAAAAAABACAAAAAiAAAAZHJzL2Rvd25yZXYueG1sUEsBAhQAFAAAAAgAh07i&#10;QCZsn10eAgAAGAQAAA4AAAAAAAAAAQAgAAAAK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小标宋简体" w:hAnsi="Times New Roman" w:eastAsia="方正小标宋简体" w:cs="Times New Roman"/>
                          <w:color w:val="FFFFFF" w:themeColor="background1"/>
                          <w:spacing w:val="20"/>
                          <w:sz w:val="72"/>
                          <w:szCs w:val="7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简体" w:hAnsi="Times New Roman" w:eastAsia="方正小标宋简体" w:cs="Times New Roman"/>
                          <w:color w:val="FFFFFF" w:themeColor="background1"/>
                          <w:spacing w:val="20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柳州市</w:t>
                      </w:r>
                      <w:r>
                        <w:rPr>
                          <w:rFonts w:hint="eastAsia" w:ascii="方正小标宋简体" w:eastAsia="方正小标宋简体" w:cs="Times New Roman"/>
                          <w:color w:val="FFFFFF" w:themeColor="background1"/>
                          <w:spacing w:val="20"/>
                          <w:sz w:val="56"/>
                          <w:szCs w:val="5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柳江区人民政府</w:t>
                      </w:r>
                    </w:p>
                    <w:p>
                      <w:pPr>
                        <w:rPr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topMargin">
                  <wp:posOffset>2411730</wp:posOffset>
                </wp:positionV>
                <wp:extent cx="5631180" cy="6559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655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1000" w:lineRule="exact"/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pacing w:val="20"/>
                                <w:w w:val="9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/>
                                <w:color w:val="FFFFFF" w:themeColor="background1"/>
                                <w:spacing w:val="20"/>
                                <w:w w:val="90"/>
                                <w:sz w:val="96"/>
                                <w:szCs w:val="5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办</w:t>
                            </w:r>
                            <w:r>
                              <w:rPr>
                                <w:rFonts w:hint="eastAsia" w:ascii="方正小标宋简体" w:eastAsia="方正小标宋简体"/>
                                <w:color w:val="FFFFFF" w:themeColor="background1"/>
                                <w:spacing w:val="20"/>
                                <w:w w:val="90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件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7pt;margin-top:189.9pt;height:51.65pt;width:443.4pt;mso-position-horizontal-relative:page;mso-position-vertical-relative:page;z-index:251661312;mso-width-relative:page;mso-height-relative:page;" filled="f" stroked="f" coordsize="21600,21600" o:gfxdata="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fJHC&#10;2gAAAAgBAAAPAAAAAAAAAAEAIAAAACIAAABkcnMvZG93bnJldi54bWxQSwECFAAUAAAACACHTuJA&#10;jFyXAx8CAAAYBAAADgAAAAAAAAABACAAAAAp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1000" w:lineRule="exact"/>
                        <w:jc w:val="center"/>
                        <w:rPr>
                          <w:rFonts w:ascii="方正小标宋简体" w:eastAsia="方正小标宋简体"/>
                          <w:color w:val="FF0000"/>
                          <w:spacing w:val="20"/>
                          <w:w w:val="90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/>
                          <w:color w:val="FFFFFF" w:themeColor="background1"/>
                          <w:spacing w:val="20"/>
                          <w:w w:val="90"/>
                          <w:sz w:val="96"/>
                          <w:szCs w:val="5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办</w:t>
                      </w:r>
                      <w:r>
                        <w:rPr>
                          <w:rFonts w:hint="eastAsia" w:ascii="方正小标宋简体" w:eastAsia="方正小标宋简体"/>
                          <w:color w:val="FFFFFF" w:themeColor="background1"/>
                          <w:spacing w:val="20"/>
                          <w:w w:val="90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件</w:t>
                      </w:r>
                    </w:p>
                    <w:p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topMargin">
                  <wp:posOffset>3406775</wp:posOffset>
                </wp:positionV>
                <wp:extent cx="5643245" cy="85598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245" cy="85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center" w:pos="4613"/>
                                <w:tab w:val="right" w:pos="907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firstLine="156" w:firstLineChars="49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32"/>
                                <w:szCs w:val="28"/>
                                <w:lang w:bidi="th-TH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center" w:pos="4613"/>
                                <w:tab w:val="right" w:pos="907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ind w:firstLine="156" w:firstLineChars="49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32"/>
                                <w:szCs w:val="28"/>
                                <w:lang w:bidi="th-TH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center" w:pos="4613"/>
                                <w:tab w:val="right" w:pos="907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firstLine="156" w:firstLineChars="49"/>
                              <w:jc w:val="center"/>
                              <w:textAlignment w:val="auto"/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32"/>
                                <w:szCs w:val="28"/>
                                <w:lang w:bidi="th-TH"/>
                              </w:rPr>
                              <w:t>江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32"/>
                                <w:szCs w:val="28"/>
                                <w:lang w:eastAsia="zh-CN" w:bidi="th-TH"/>
                              </w:rPr>
                              <w:t>政规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</w:rPr>
                              <w:t>〔202</w:t>
                            </w:r>
                            <w:r>
                              <w:rPr>
                                <w:rFonts w:hint="eastAsia" w:eastAsia="仿宋_GB2312" w:cs="Times New Roman"/>
                                <w:sz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32"/>
                              </w:rPr>
                              <w:t>〕</w:t>
                            </w:r>
                            <w:r>
                              <w:rPr>
                                <w:rFonts w:hint="eastAsia" w:eastAsia="仿宋_GB2312" w:cs="Times New Roman"/>
                                <w:sz w:val="3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32"/>
                                <w:szCs w:val="28"/>
                                <w:lang w:bidi="th-TH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7pt;margin-top:268.25pt;height:67.4pt;width:444.35pt;mso-position-horizontal-relative:page;mso-position-vertical-relative:page;z-index:251662336;mso-width-relative:page;mso-height-relative:page;" filled="f" stroked="f" coordsize="21600,21600" o:gfxdata="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AC2&#10;B9oAAAAIAQAADwAAAAAAAAABACAAAAAiAAAAZHJzL2Rvd25yZXYueG1sUEsBAhQAFAAAAAgAh07i&#10;QHLNS3kgAgAAGAQAAA4AAAAAAAAAAQAgAAAAK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center" w:pos="4613"/>
                          <w:tab w:val="right" w:pos="907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firstLine="156" w:firstLineChars="49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bCs/>
                          <w:sz w:val="32"/>
                          <w:szCs w:val="28"/>
                          <w:lang w:bidi="th-TH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center" w:pos="4613"/>
                          <w:tab w:val="right" w:pos="907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ind w:firstLine="156" w:firstLineChars="49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bCs/>
                          <w:sz w:val="32"/>
                          <w:szCs w:val="28"/>
                          <w:lang w:bidi="th-TH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center" w:pos="4613"/>
                          <w:tab w:val="right" w:pos="907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firstLine="156" w:firstLineChars="49"/>
                        <w:jc w:val="center"/>
                        <w:textAlignment w:val="auto"/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32"/>
                          <w:szCs w:val="28"/>
                          <w:lang w:bidi="th-TH"/>
                        </w:rPr>
                        <w:t>江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32"/>
                          <w:szCs w:val="28"/>
                          <w:lang w:eastAsia="zh-CN" w:bidi="th-TH"/>
                        </w:rPr>
                        <w:t>政规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</w:rPr>
                        <w:t>〔202</w:t>
                      </w:r>
                      <w:r>
                        <w:rPr>
                          <w:rFonts w:hint="eastAsia" w:eastAsia="仿宋_GB2312" w:cs="Times New Roman"/>
                          <w:sz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仿宋_GB2312" w:cs="Times New Roman"/>
                          <w:sz w:val="32"/>
                        </w:rPr>
                        <w:t>〕</w:t>
                      </w:r>
                      <w:r>
                        <w:rPr>
                          <w:rFonts w:hint="eastAsia" w:eastAsia="仿宋_GB2312" w:cs="Times New Roman"/>
                          <w:sz w:val="3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32"/>
                          <w:szCs w:val="28"/>
                          <w:lang w:bidi="th-TH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topMargin">
                  <wp:posOffset>3815715</wp:posOffset>
                </wp:positionV>
                <wp:extent cx="5607685" cy="127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75pt;margin-top:300.45pt;height:0.1pt;width:441.55pt;mso-position-horizontal-relative:page;mso-position-vertical-relative:page;z-index:251663360;mso-width-relative:page;mso-height-relative:page;" filled="f" stroked="t" coordsize="21600,21600" o:gfxdata="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TDaG/YAAAACAEAAA8AAAAAAAAAAQAgAAAAIgAA&#10;AGRycy9kb3ducmV2LnhtbFBLAQIUABQAAAAIAIdO4kDgdYjEzwEAAGcDAAAOAAAAAAAAAAEAIAAA&#10;ACcBAABkcnMvZTJvRG9jLnhtbFBLBQYAAAAABgAGAFkBAABoBQAAAAA=&#10;">
                <v:fill on="f" focussize="0,0"/>
                <v:stroke weight="1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仿宋_GB2312"/>
          <w:color w:val="FFFFFF"/>
          <w:sz w:val="32"/>
          <w:szCs w:val="32"/>
          <w:lang w:eastAsia="zh-CN"/>
        </w:rPr>
        <w:t>（空二行）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柳州市柳江区人民政府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关于印发《柳州市柳江区被征收</w:t>
      </w:r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土地上青苗和附着物补偿暂行办法》的通知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color w:val="FFFFFF"/>
          <w:sz w:val="32"/>
          <w:szCs w:val="32"/>
          <w:lang w:eastAsia="zh-CN"/>
        </w:rPr>
        <w:t>（空一行）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各镇人民政府（管委会），区直各办、局，各有关单位：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《柳州市柳江区被征收土地上青苗和附着物补偿暂行办法》印发给你们，请认真组织实施。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eastAsia="黑体"/>
          <w:color w:val="FFFFFF"/>
          <w:kern w:val="0"/>
          <w:sz w:val="32"/>
          <w:szCs w:val="32"/>
          <w:lang w:eastAsia="zh-CN"/>
        </w:rPr>
      </w:pPr>
      <w:r>
        <w:rPr>
          <w:rFonts w:hint="eastAsia" w:eastAsia="黑体"/>
          <w:color w:val="FFFFFF"/>
          <w:kern w:val="0"/>
          <w:sz w:val="32"/>
          <w:szCs w:val="32"/>
          <w:lang w:eastAsia="zh-CN"/>
        </w:rPr>
        <w:t>（空一行）</w:t>
      </w:r>
    </w:p>
    <w:p>
      <w:pPr>
        <w:pStyle w:val="2"/>
        <w:ind w:left="0" w:leftChars="0" w:firstLine="0" w:firstLine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kern w:val="0"/>
          <w:sz w:val="32"/>
          <w:szCs w:val="32"/>
        </w:rPr>
        <w:t xml:space="preserve"> 柳州市柳江区人民政府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</w:rPr>
        <w:t xml:space="preserve">                           </w:t>
      </w:r>
      <w:r>
        <w:rPr>
          <w:rFonts w:eastAsia="仿宋_GB2312"/>
          <w:kern w:val="0"/>
          <w:sz w:val="32"/>
          <w:szCs w:val="32"/>
          <w:highlight w:val="none"/>
        </w:rPr>
        <w:t xml:space="preserve">    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2023</w:t>
      </w:r>
      <w:r>
        <w:rPr>
          <w:rFonts w:eastAsia="仿宋_GB2312"/>
          <w:kern w:val="0"/>
          <w:sz w:val="32"/>
          <w:szCs w:val="32"/>
          <w:highlight w:val="none"/>
        </w:rPr>
        <w:t>年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kern w:val="0"/>
          <w:sz w:val="32"/>
          <w:szCs w:val="32"/>
          <w:highlight w:val="none"/>
        </w:rPr>
        <w:t>月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eastAsia="仿宋_GB2312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baseline"/>
        <w:rPr>
          <w:rFonts w:hint="eastAsia" w:eastAsia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baseline"/>
        <w:rPr>
          <w:rFonts w:hint="eastAsia" w:eastAsia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柳州市柳江区被征收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土地上青苗和附着物补偿暂行办法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为规范我区被征收土地上青苗和附着物的补偿工作，维护被征收人的合法利益，保障征地拆迁工作的顺利进行，依据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《中华人民共和国土地管理法》（修正案）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《土地管理法实施条例》《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柳州市人民政府办公室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关于做好新一轮征地区片综合地价实施工作的通知》（柳政办函〔2023〕9号）法律法规和文件规定，结合我区实际，制定本办法。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在本区行政区域范围内被征收土地上青苗和附着物的补偿，按本办法规定执行。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我区行政区域范围内被征收土地上青苗和附着物的补偿工作，按柳江区征地拆迁有关政策组织实施，补偿材料的真实性由实施单位负责。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第四条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房屋及其他建筑物、构筑物的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征收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补偿标准由区政府按重置价格制定并公布实施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征收集体土地上青苗和附着物的补偿标准按附件1-7执行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，均为一次性补偿。征用（临时用地）土地的，当年按照本次公布的被征收土地上青苗和附着物给予补偿，次年起，耕地（含水田旱地）按照每年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2500元/亩，养殖水面、藕田按照每年4000元/亩给予租地补偿至复垦验收合格的当年止，不足一年的，按照一年给予补偿。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同一地块上间种或套种其他种类农作物的，其青苗补偿以主要种植农作物补偿为准，按实际混合种植面积给予补偿。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自征收土地公告之日起，停止办理征收范围内的房屋（含建筑物、构筑物，下同）权属或用途变更；不得进行房屋改建、扩建及装饰装修。拆迁范围内的出租房屋，租赁双方应在拆迁期内协商处理好租赁事宜。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被征收土地上的青苗和附着物有纠纷的，应进行证据保全，权属纠纷不影响土地征收的实施。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本办法不包括房屋的补偿。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  有下列情形之一的，不予补偿，由当事人在规定的期限内自行处理，逾期不处理的，视为无主物处理。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（一）征地公告后抢栽抢种的农作物、林（果、竹）木和抢建的建筑物、构筑物。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（二）实施征收土地补偿后擅自种植的青苗和林木、果树、花卉等。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（三）依照法律、法规规定不予补偿的其他情形。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被征收人积极支持、配合征收工作，在政府规定的时间内签订征收协议并自行清除地上附着物的，可予以适当奖励。奖励办法根据各建设项目和实际情况另行制定。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被征收人获得被征收的房屋、青苗和附着物补偿后，应在规定的时间内搬迁、自行清除并交付土地。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逾期拒不搬迁，不自行清除交付土地的，按照法律法规规定依法强制征收。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在实施征收土地工作中，当事人有违法行为的，由有关行政机关依法给予处罚；构成犯罪的，依法追究其刑事责任；造成经济损失的，同时追究其民事责任。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第十三条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依法收回国有土地使用权（包括国有农用地）涉及青苗和附着物补偿的，参照本办法执行。征收国有土地上房屋（国有农用地除外）的，按照《国有土地上房屋征收与补偿条例》规定执行。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国家重大项目工程建设征收土地上青苗及附着物补偿另有规定的，从其规定。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本暂行办法未作规定的事项，按国家、自治区法律、法规规定执行；本暂行办法与国家、自治区有关法律、法规、文件规定不一致的，按国家、自治区法律、法规、文件执行。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第十六条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本暂行办法自发布之日起执行，各镇青苗和地上附着物补偿标准按本通知规定执行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原执行《柳州市柳江区人民政府关于印发&lt;柳州市柳江区被征收土地上青苗和附着物补偿暂行办法&gt;的通知》（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江政规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号）文件同时废止。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附件：1．农作物、养殖类补偿（迁移）费标准表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2．征收果树补偿（迁移）标准表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3．连片经济林补偿（迁移）标准表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4．园林苗木迁移补偿标准表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5．征收零星林木补偿（迁移）标准表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6．地上附着物补偿（迁移）标准表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7．房屋装修、装饰补偿（迁移）标准表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0" w:firstLineChars="200"/>
        <w:jc w:val="left"/>
        <w:textAlignment w:val="auto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eastAsia="方正小标宋简体"/>
          <w:color w:val="auto"/>
          <w:sz w:val="44"/>
          <w:szCs w:val="44"/>
          <w:highlight w:val="none"/>
        </w:rPr>
        <w:t>农作物</w:t>
      </w:r>
      <w:r>
        <w:rPr>
          <w:rFonts w:hint="eastAsia" w:eastAsia="方正小标宋简体"/>
          <w:color w:val="auto"/>
          <w:sz w:val="44"/>
          <w:szCs w:val="44"/>
          <w:highlight w:val="none"/>
        </w:rPr>
        <w:t>、养殖</w:t>
      </w:r>
      <w:r>
        <w:rPr>
          <w:rFonts w:eastAsia="方正小标宋简体"/>
          <w:color w:val="auto"/>
          <w:sz w:val="44"/>
          <w:szCs w:val="44"/>
          <w:highlight w:val="none"/>
        </w:rPr>
        <w:t>类补偿</w:t>
      </w:r>
      <w:r>
        <w:rPr>
          <w:rFonts w:hint="eastAsia" w:eastAsia="方正小标宋简体"/>
          <w:color w:val="auto"/>
          <w:sz w:val="44"/>
          <w:szCs w:val="44"/>
          <w:highlight w:val="none"/>
        </w:rPr>
        <w:t>（迁移）</w:t>
      </w:r>
      <w:r>
        <w:rPr>
          <w:rFonts w:eastAsia="方正小标宋简体"/>
          <w:color w:val="auto"/>
          <w:sz w:val="44"/>
          <w:szCs w:val="44"/>
          <w:highlight w:val="none"/>
        </w:rPr>
        <w:t>费标准表</w:t>
      </w:r>
    </w:p>
    <w:tbl>
      <w:tblPr>
        <w:tblStyle w:val="6"/>
        <w:tblpPr w:leftFromText="180" w:rightFromText="180" w:vertAnchor="text" w:horzAnchor="margin" w:tblpXSpec="center" w:tblpY="56"/>
        <w:tblW w:w="871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018"/>
        <w:gridCol w:w="279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tblHeader/>
        </w:trPr>
        <w:tc>
          <w:tcPr>
            <w:tcW w:w="5919" w:type="dxa"/>
            <w:gridSpan w:val="2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名      称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480" w:lineRule="atLeast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补偿标准（元/亩）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蔬菜</w:t>
            </w:r>
          </w:p>
          <w:p>
            <w:pPr>
              <w:snapToGrid w:val="0"/>
              <w:spacing w:line="440" w:lineRule="atLeast"/>
              <w:ind w:firstLine="160" w:firstLineChars="5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类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莲藕、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  <w:t>淮山、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葱、蒜、韭菜、西红柿、槟榔芋、辣椒、叶菜等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6000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018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生姜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10000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01" w:type="dxa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果类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  <w:t>草莓、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西瓜、香瓜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10000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5919" w:type="dxa"/>
            <w:gridSpan w:val="2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  <w:t>桑树（养蚕用）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6000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5919" w:type="dxa"/>
            <w:gridSpan w:val="2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  <w:t>果 蔗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</w:trPr>
        <w:tc>
          <w:tcPr>
            <w:tcW w:w="901" w:type="dxa"/>
            <w:noWrap w:val="0"/>
            <w:vAlign w:val="center"/>
          </w:tcPr>
          <w:p>
            <w:pPr>
              <w:snapToGrid w:val="0"/>
              <w:spacing w:line="34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一般农作物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玉米、黄豆、花生、水稻、高粱、薯类、糖料蔗等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3500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snapToGrid w:val="0"/>
              <w:spacing w:line="3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生猪迁移费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可出栏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120元/头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018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未出栏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80元/头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</w:trPr>
        <w:tc>
          <w:tcPr>
            <w:tcW w:w="901" w:type="dxa"/>
            <w:vMerge w:val="restart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鱼类</w:t>
            </w:r>
          </w:p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 xml:space="preserve">迁移费  </w:t>
            </w:r>
          </w:p>
        </w:tc>
        <w:tc>
          <w:tcPr>
            <w:tcW w:w="5018" w:type="dxa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一般鱼种（罗非鱼、草鱼、鲤鱼、鲫鱼、塘角鱼、鲶拐鱼、大头鱼、鲢鱼、埃及鱼、鲳鱼、斑鱼等）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7200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018" w:type="dxa"/>
            <w:noWrap w:val="0"/>
            <w:vAlign w:val="center"/>
          </w:tcPr>
          <w:p>
            <w:pPr>
              <w:snapToGrid w:val="0"/>
              <w:spacing w:line="48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龟鳖类及其它珍贵鱼种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9000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901" w:type="dxa"/>
            <w:vMerge w:val="continue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5018" w:type="dxa"/>
            <w:noWrap w:val="0"/>
            <w:vAlign w:val="center"/>
          </w:tcPr>
          <w:p>
            <w:pPr>
              <w:snapToGrid w:val="0"/>
              <w:spacing w:line="480" w:lineRule="atLeas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网箱养鱼</w:t>
            </w:r>
          </w:p>
        </w:tc>
        <w:tc>
          <w:tcPr>
            <w:tcW w:w="2794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30元/平方米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1．青苗补偿指征收土地时因需要及时让出土地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致使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农作物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造成损失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以及养殖类需要搬迁所产生的费用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，给予青苗所有者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或养殖所有人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的补偿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2．青苗补偿标准根据前三年柳江区主要农作物一造产值进行综合测算，特殊品种单独测算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eastAsia="方正小标宋简体"/>
          <w:color w:val="auto"/>
          <w:sz w:val="44"/>
          <w:szCs w:val="44"/>
          <w:highlight w:val="none"/>
        </w:rPr>
        <w:t>征收果树补偿</w:t>
      </w:r>
      <w:r>
        <w:rPr>
          <w:rFonts w:hint="eastAsia" w:eastAsia="方正小标宋简体"/>
          <w:color w:val="auto"/>
          <w:sz w:val="44"/>
          <w:szCs w:val="44"/>
          <w:highlight w:val="none"/>
        </w:rPr>
        <w:t>（迁移）</w:t>
      </w:r>
      <w:r>
        <w:rPr>
          <w:rFonts w:eastAsia="方正小标宋简体"/>
          <w:color w:val="auto"/>
          <w:sz w:val="44"/>
          <w:szCs w:val="44"/>
          <w:highlight w:val="none"/>
        </w:rPr>
        <w:t>标准表</w:t>
      </w:r>
    </w:p>
    <w:tbl>
      <w:tblPr>
        <w:tblStyle w:val="6"/>
        <w:tblW w:w="10247" w:type="dxa"/>
        <w:tblInd w:w="-4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957"/>
        <w:gridCol w:w="3671"/>
        <w:gridCol w:w="729"/>
        <w:gridCol w:w="45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果树类别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规   格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元/株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备  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果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树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类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柿子树、梨子树、杨梅树、番石榴树、黄皮果树、枇杷树、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桃树、桃树、板栗树、荔枝树等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离地20厘米处直径3（含）厘米以下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1.离地20厘米处直径：5厘米以下的，亩合理株数200株，5厘米以上的亩合理株数110株。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2.低于合理株数的按实际株数给予补偿，超过合理株数的按合理株数给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离地20厘米处直径3-5（含）厘米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离地20厘米处直径5-7（含）厘米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离地20厘米处直径7-9（含）厘米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离地20厘米处直径9-12（含）厘米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300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离地20厘米处直径12-15（含）厘米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350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离地20厘米处直径15-20（含）厘米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450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离地20厘米处直径20-25（含）厘米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550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离地20厘米处直径25-30（含）厘米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700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离地20厘米处直径30-35（含）厘米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900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离地20厘米处直径35厘米以上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1000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芒果树、李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树、枣子树、龙眼树等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离地20厘米处直径1（含）厘米以下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1.离地20厘米处直径：5厘米以下的，亩合理株数200株，5厘米以上的亩合理株数110株。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2.低于合理株数的按实际株数给予补偿，超过合理株数的按合理株数给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离地20厘米处直径1-5（含）厘米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离地20厘米处直径5-10（含）厘米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190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离地20厘米处直径10-15（含）厘米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320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离地20厘米处直径15-20（含）厘米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390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离地20厘米处直径20-25（含）厘米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520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离地20厘米处直径25-30（含）厘米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750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离地20厘米处直径30-35（含）厘米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800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胸径35厘米以上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1000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柑橘类（包括柑、桔、橙、柚、金桔、柠檬等）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未挂果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90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1.离地20厘米处直径：3厘米以下的亩合理株数180株，3-7厘米的亩合理株数150株，8厘米以上的亩合理株数100株。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2.低于合理株数的按实际株数给予补偿，超过合理株数的按合理株数给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初挂果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250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丰产期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400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果园苗圃</w:t>
            </w:r>
          </w:p>
        </w:tc>
        <w:tc>
          <w:tcPr>
            <w:tcW w:w="8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胸径2厘米以下按20000元/亩，胸径2厘米以上按30000元/亩补偿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 xml:space="preserve">其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类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葡萄、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火龙果、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bidi="ar"/>
              </w:rPr>
              <w:t>百香果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葡萄未挂果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零星种植按实际株数给予补偿；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2.连片种植，未挂果按10000元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亩给予补偿，已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挂果按30000元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亩给予补偿。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葡萄已挂果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150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百香果、火龙果未挂果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50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零星种植按实际株数给予补偿；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2.连片种植，未挂果按8000元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亩给予补偿，已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挂果按20000元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亩给予补偿。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百香果、火龙果已挂果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芭蕉、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香蕉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未挂果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1.合理株数为亩种植达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株。                              2.低于合理株数的按实际株数给予补偿，超过合理株数的按合理株数给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已挂果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油茶树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未挂果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50</w:t>
            </w:r>
          </w:p>
        </w:tc>
        <w:tc>
          <w:tcPr>
            <w:tcW w:w="4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1.合理株数为亩种植达100株。                                         2.低于合理株数的按实际株数给予补偿，超过合理株数的按合理株数给</w:t>
            </w:r>
            <w:r>
              <w:rPr>
                <w:rFonts w:hint="eastAsia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</w:trPr>
        <w:tc>
          <w:tcPr>
            <w:tcW w:w="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已挂果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80</w:t>
            </w:r>
          </w:p>
        </w:tc>
        <w:tc>
          <w:tcPr>
            <w:tcW w:w="4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napToGrid w:val="0"/>
        <w:spacing w:line="480" w:lineRule="atLeas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napToGrid w:val="0"/>
        <w:spacing w:line="480" w:lineRule="atLeast"/>
        <w:ind w:firstLine="1980" w:firstLineChars="45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方正小标宋简体"/>
          <w:color w:val="auto"/>
          <w:sz w:val="44"/>
          <w:szCs w:val="44"/>
          <w:highlight w:val="none"/>
        </w:rPr>
        <w:t>连片</w:t>
      </w:r>
      <w:r>
        <w:rPr>
          <w:rFonts w:hint="eastAsia" w:eastAsia="方正小标宋简体"/>
          <w:color w:val="auto"/>
          <w:sz w:val="44"/>
          <w:szCs w:val="44"/>
          <w:highlight w:val="none"/>
        </w:rPr>
        <w:t>经济</w:t>
      </w:r>
      <w:r>
        <w:rPr>
          <w:rFonts w:eastAsia="方正小标宋简体"/>
          <w:color w:val="auto"/>
          <w:sz w:val="44"/>
          <w:szCs w:val="44"/>
          <w:highlight w:val="none"/>
        </w:rPr>
        <w:t>林补偿</w:t>
      </w:r>
      <w:r>
        <w:rPr>
          <w:rFonts w:hint="eastAsia" w:eastAsia="方正小标宋简体"/>
          <w:color w:val="auto"/>
          <w:sz w:val="44"/>
          <w:szCs w:val="44"/>
          <w:highlight w:val="none"/>
        </w:rPr>
        <w:t>（迁移）</w:t>
      </w:r>
      <w:r>
        <w:rPr>
          <w:rFonts w:eastAsia="方正小标宋简体"/>
          <w:color w:val="auto"/>
          <w:sz w:val="44"/>
          <w:szCs w:val="44"/>
          <w:highlight w:val="none"/>
        </w:rPr>
        <w:t>标准表</w:t>
      </w:r>
    </w:p>
    <w:tbl>
      <w:tblPr>
        <w:tblStyle w:val="6"/>
        <w:tblW w:w="907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050"/>
        <w:gridCol w:w="3990"/>
        <w:gridCol w:w="27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tblHeader/>
          <w:jc w:val="center"/>
        </w:trPr>
        <w:tc>
          <w:tcPr>
            <w:tcW w:w="6305" w:type="dxa"/>
            <w:gridSpan w:val="3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名   称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 xml:space="preserve"> 补偿标准（元/亩）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65" w:type="dxa"/>
            <w:vMerge w:val="restart"/>
            <w:noWrap w:val="0"/>
            <w:vAlign w:val="center"/>
          </w:tcPr>
          <w:p>
            <w:pPr>
              <w:snapToGrid w:val="0"/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林地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竹林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成熟林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5000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幼林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3500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5040" w:type="dxa"/>
            <w:gridSpan w:val="2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水</w:t>
            </w:r>
            <w:r>
              <w:rPr>
                <w:rFonts w:hint="eastAsia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子（黄</w:t>
            </w:r>
            <w:r>
              <w:rPr>
                <w:rFonts w:hint="eastAsia" w:eastAsia="仿宋_GB2312" w:cs="Times New Roman"/>
                <w:color w:val="auto"/>
                <w:sz w:val="30"/>
                <w:szCs w:val="30"/>
                <w:highlight w:val="none"/>
                <w:lang w:eastAsia="zh-CN"/>
              </w:rPr>
              <w:t>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子）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5000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尾</w:t>
            </w:r>
          </w:p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叶</w:t>
            </w:r>
          </w:p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桉</w:t>
            </w:r>
          </w:p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spacing w:line="440" w:lineRule="atLeas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连片尾叶桉新造林（两年内）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2500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未成熟林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3000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成熟林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3500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松树衫树等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幼林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7000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成熟林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napToGrid w:val="0"/>
              <w:spacing w:line="4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</w:rPr>
              <w:t>10000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/>
          <w:color w:val="auto"/>
          <w:highlight w:val="none"/>
        </w:rPr>
      </w:pPr>
    </w:p>
    <w:p>
      <w:pPr>
        <w:widowControl/>
        <w:spacing w:line="500" w:lineRule="exact"/>
        <w:jc w:val="left"/>
        <w:rPr>
          <w:rFonts w:eastAsia="仿宋_GB2312"/>
          <w:bCs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bCs/>
          <w:color w:val="auto"/>
          <w:sz w:val="32"/>
          <w:szCs w:val="32"/>
          <w:highlight w:val="none"/>
        </w:rPr>
        <w:t>1</w:t>
      </w:r>
      <w:r>
        <w:rPr>
          <w:rFonts w:hint="eastAsia" w:eastAsia="仿宋_GB2312"/>
          <w:bCs/>
          <w:color w:val="auto"/>
          <w:sz w:val="32"/>
          <w:szCs w:val="32"/>
          <w:highlight w:val="none"/>
        </w:rPr>
        <w:t>．</w:t>
      </w:r>
      <w:r>
        <w:rPr>
          <w:rFonts w:eastAsia="仿宋_GB2312"/>
          <w:color w:val="auto"/>
          <w:kern w:val="0"/>
          <w:sz w:val="32"/>
          <w:szCs w:val="32"/>
          <w:highlight w:val="none"/>
        </w:rPr>
        <w:t>未列农作物、经济林木等参照以上近似品种标准执行。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仿宋_GB2312"/>
          <w:color w:val="auto"/>
          <w:sz w:val="32"/>
          <w:szCs w:val="32"/>
          <w:highlight w:val="none"/>
        </w:rPr>
        <w:t>2</w:t>
      </w:r>
      <w:r>
        <w:rPr>
          <w:rFonts w:hint="eastAsia" w:eastAsia="仿宋_GB2312"/>
          <w:color w:val="auto"/>
          <w:sz w:val="32"/>
          <w:szCs w:val="32"/>
          <w:highlight w:val="none"/>
        </w:rPr>
        <w:t>．</w:t>
      </w:r>
      <w:r>
        <w:rPr>
          <w:rFonts w:eastAsia="仿宋_GB2312"/>
          <w:color w:val="auto"/>
          <w:sz w:val="32"/>
          <w:szCs w:val="32"/>
          <w:highlight w:val="none"/>
        </w:rPr>
        <w:t>如遇特殊品种（例：古树名木等）的补偿，应先协商，协商不成再由专业部门评估补偿。</w:t>
      </w:r>
    </w:p>
    <w:p>
      <w:pPr>
        <w:pStyle w:val="2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附件4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      </w:t>
      </w:r>
      <w:r>
        <w:rPr>
          <w:rFonts w:eastAsia="方正小标宋简体"/>
          <w:color w:val="auto"/>
          <w:sz w:val="44"/>
          <w:szCs w:val="44"/>
          <w:highlight w:val="none"/>
        </w:rPr>
        <w:t xml:space="preserve"> </w:t>
      </w:r>
    </w:p>
    <w:p>
      <w:pPr>
        <w:snapToGrid w:val="0"/>
        <w:spacing w:line="480" w:lineRule="atLeast"/>
        <w:ind w:firstLine="2420" w:firstLineChars="550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eastAsia="方正小标宋简体"/>
          <w:color w:val="auto"/>
          <w:sz w:val="44"/>
          <w:szCs w:val="44"/>
          <w:highlight w:val="none"/>
        </w:rPr>
        <w:t>园林苗木</w:t>
      </w:r>
      <w:r>
        <w:rPr>
          <w:rFonts w:hint="eastAsia" w:eastAsia="方正小标宋简体"/>
          <w:color w:val="auto"/>
          <w:sz w:val="44"/>
          <w:szCs w:val="44"/>
          <w:highlight w:val="none"/>
        </w:rPr>
        <w:t>迁移补偿</w:t>
      </w:r>
      <w:r>
        <w:rPr>
          <w:rFonts w:eastAsia="方正小标宋简体"/>
          <w:color w:val="auto"/>
          <w:sz w:val="44"/>
          <w:szCs w:val="44"/>
          <w:highlight w:val="none"/>
        </w:rPr>
        <w:t>标准表</w:t>
      </w:r>
    </w:p>
    <w:tbl>
      <w:tblPr>
        <w:tblStyle w:val="6"/>
        <w:tblW w:w="97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100"/>
        <w:gridCol w:w="1260"/>
        <w:gridCol w:w="1260"/>
        <w:gridCol w:w="1680"/>
        <w:gridCol w:w="23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 xml:space="preserve">   分项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品名</w:t>
            </w:r>
          </w:p>
        </w:tc>
        <w:tc>
          <w:tcPr>
            <w:tcW w:w="2100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规 格（厘米）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361" w:firstLineChars="15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迁移补偿标准</w:t>
            </w:r>
          </w:p>
        </w:tc>
        <w:tc>
          <w:tcPr>
            <w:tcW w:w="1680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亩合理株数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标准（株/亩）</w:t>
            </w:r>
          </w:p>
        </w:tc>
        <w:tc>
          <w:tcPr>
            <w:tcW w:w="231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备 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ind w:left="239" w:leftChars="114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独立苗木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（元/株）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苗   圃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（元/亩）</w:t>
            </w:r>
          </w:p>
        </w:tc>
        <w:tc>
          <w:tcPr>
            <w:tcW w:w="1680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乔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胸径2厘米以下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800株/亩</w:t>
            </w:r>
          </w:p>
        </w:tc>
        <w:tc>
          <w:tcPr>
            <w:tcW w:w="231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1.少于或等于合理株数的，按实际株数给予迁移补偿，大于合理株数的，按苗圃给予迁移补偿。</w:t>
            </w: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2.迁移费包含人工费、运输费、装卸费、材料费、苗木损失费等。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3.乔木类胸径超过41厘米的，按35元/厘米进行计算。</w:t>
            </w:r>
          </w:p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胸径3-5厘米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600株/亩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胸径6-8厘米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20000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250株/亩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胸径9-10厘米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140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28000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180株/亩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胸径11-15厘米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250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35000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胸径16-20厘米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380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38000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胸径21-25厘米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550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40000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胸径25-30厘米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920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42000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胸径31-40厘米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1380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45000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木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冠幅30厘米以下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800株/亩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冠幅40-60厘米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23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550株/亩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冠幅80-100厘米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36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22000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500株/亩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冠幅100厘米以上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66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30000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400株/亩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盆栽苗</w:t>
            </w: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2元/盆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5000株/亩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袋装苗</w:t>
            </w:r>
          </w:p>
        </w:tc>
        <w:tc>
          <w:tcPr>
            <w:tcW w:w="210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1元/袋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10000</w:t>
            </w:r>
          </w:p>
        </w:tc>
        <w:tc>
          <w:tcPr>
            <w:tcW w:w="168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10000株/亩</w:t>
            </w:r>
          </w:p>
        </w:tc>
        <w:tc>
          <w:tcPr>
            <w:tcW w:w="231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草  坪</w:t>
            </w:r>
          </w:p>
        </w:tc>
        <w:tc>
          <w:tcPr>
            <w:tcW w:w="6300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4500元/亩</w:t>
            </w:r>
          </w:p>
        </w:tc>
        <w:tc>
          <w:tcPr>
            <w:tcW w:w="23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eastAsia="仿宋_GB2312"/>
          <w:color w:val="auto"/>
          <w:kern w:val="0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eastAsia="仿宋_GB2312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      </w:t>
      </w:r>
      <w:r>
        <w:rPr>
          <w:rFonts w:eastAsia="方正小标宋简体"/>
          <w:color w:val="auto"/>
          <w:sz w:val="44"/>
          <w:szCs w:val="4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320" w:firstLineChars="30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征收零星林木补偿（迁移）标准表</w:t>
      </w:r>
    </w:p>
    <w:tbl>
      <w:tblPr>
        <w:tblStyle w:val="6"/>
        <w:tblW w:w="915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3225"/>
        <w:gridCol w:w="2755"/>
        <w:gridCol w:w="16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分项品名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spacing w:line="460" w:lineRule="exact"/>
              <w:ind w:firstLine="829" w:firstLineChars="344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规  格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标准（元/株）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备   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杉类（红豆杉）、春芽树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胸径2厘米以下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ind w:firstLine="1200" w:firstLineChars="5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169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胸径3-5厘米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</w:t>
            </w:r>
          </w:p>
        </w:tc>
        <w:tc>
          <w:tcPr>
            <w:tcW w:w="1698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胸径6-8厘米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20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胸径9-12厘米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30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胸径13-15厘米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85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胸径16-18厘米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160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胸径19厘米以上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245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松类、桉树、相思树、柠檬树、苦楝树等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胸径2厘米以下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胸径3-5厘米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胸径6-8厘米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20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胸径9-12厘米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25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胸径13-15厘米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50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胸径16-20厘米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100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胸径21厘米以上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170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竹  类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胸径大于5厘米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</w:t>
            </w:r>
          </w:p>
        </w:tc>
        <w:tc>
          <w:tcPr>
            <w:tcW w:w="169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甜竹、嵩竹、刺竹等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胸径5厘米以下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169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67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自然成丛≤50根的，250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元/丛，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大于50根小于100根的500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元/丛，大于100根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小于200根的800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元/丛，200根以上的1000元/丛。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黄花梨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胸径1-2厘米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胸径2-3厘米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30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胸径3-4厘米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60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胸径4-5厘米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100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胸径5-8厘米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120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478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胸径8-15厘米</w:t>
            </w:r>
          </w:p>
        </w:tc>
        <w:tc>
          <w:tcPr>
            <w:tcW w:w="27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150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古树名木、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8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特大树木</w:t>
            </w:r>
          </w:p>
        </w:tc>
        <w:tc>
          <w:tcPr>
            <w:tcW w:w="767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委托中介机构评估或者与产权人进行协商确定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方正小标宋简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      </w:t>
      </w:r>
      <w:r>
        <w:rPr>
          <w:rFonts w:eastAsia="方正小标宋简体"/>
          <w:color w:val="auto"/>
          <w:sz w:val="44"/>
          <w:szCs w:val="4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320" w:firstLineChars="300"/>
        <w:textAlignment w:val="auto"/>
        <w:rPr>
          <w:rFonts w:hint="eastAsia" w:eastAsia="仿宋_GB2312"/>
          <w:color w:val="auto"/>
          <w:sz w:val="32"/>
          <w:szCs w:val="32"/>
          <w:highlight w:val="none"/>
        </w:rPr>
      </w:pPr>
      <w:r>
        <w:rPr>
          <w:rFonts w:hint="eastAsia" w:eastAsia="方正小标宋简体"/>
          <w:color w:val="auto"/>
          <w:sz w:val="44"/>
          <w:szCs w:val="44"/>
          <w:highlight w:val="none"/>
        </w:rPr>
        <w:t>地上附着物补偿（迁移）标准表</w:t>
      </w:r>
    </w:p>
    <w:tbl>
      <w:tblPr>
        <w:tblStyle w:val="6"/>
        <w:tblW w:w="976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16"/>
        <w:gridCol w:w="825"/>
        <w:gridCol w:w="2344"/>
        <w:gridCol w:w="1532"/>
        <w:gridCol w:w="24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ind w:firstLine="1687" w:firstLineChars="70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内      容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补偿标准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ind w:firstLine="241" w:firstLineChars="10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508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农村生产生活配用房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400元/平方米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砖混结构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370元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砖木结构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简易房（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檐高2.2米以下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200元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508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钢架棚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120元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（6米以下）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170元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（6米以上）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四</w:t>
            </w:r>
          </w:p>
        </w:tc>
        <w:tc>
          <w:tcPr>
            <w:tcW w:w="508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经营性生产用房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20元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搬迁费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08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30元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停产停业损失补助费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五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电力设施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220伏送配电线路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3.6-4.2万元/公里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380伏送配电线路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5.7-8.8万元/公里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1万伏送配电线路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9.7-12万元/公里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迁移变压器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400元/千伏安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水泥电杆长8米以下（含8米）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450元/根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水泥电杆长8米以上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900元/根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渗油木电杆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90元/根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石质电杆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90元/根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木质电杆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75元/根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铜芯电线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铝芯电线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三相电线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电杆（塔）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1平方米以内（含1平方米）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400元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3平方米以上一事一议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1平方米—3平方米（含3平方米）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600元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六</w:t>
            </w:r>
          </w:p>
        </w:tc>
        <w:tc>
          <w:tcPr>
            <w:tcW w:w="50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水利设施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74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 渠、挡墙、片石基础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三面光墙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400元/立方米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4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三面片石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330元/立方米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74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简易水沟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  砌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4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片  石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150元/米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741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水井深4米以内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（含4米）</w:t>
            </w:r>
          </w:p>
        </w:tc>
        <w:tc>
          <w:tcPr>
            <w:tcW w:w="2344" w:type="dxa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有内衬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3000元/眼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41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4" w:type="dxa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无内衬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2000元/眼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水井深超过4米的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4000元/眼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机井</w:t>
            </w:r>
          </w:p>
        </w:tc>
        <w:tc>
          <w:tcPr>
            <w:tcW w:w="4701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居住区每户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原则上不得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超过1口井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。机井必须设备齐全，要有水管、抽水设备，能正常抽水。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七</w:t>
            </w:r>
          </w:p>
        </w:tc>
        <w:tc>
          <w:tcPr>
            <w:tcW w:w="66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其他设施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沼气池</w:t>
            </w:r>
          </w:p>
        </w:tc>
        <w:tc>
          <w:tcPr>
            <w:tcW w:w="47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480-550元/立方米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坟墓（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初葬五年内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10000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元/座（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碑）</w:t>
            </w:r>
          </w:p>
        </w:tc>
        <w:tc>
          <w:tcPr>
            <w:tcW w:w="1532" w:type="dxa"/>
            <w:vMerge w:val="restart"/>
            <w:noWrap w:val="0"/>
            <w:vAlign w:val="center"/>
          </w:tcPr>
          <w:p>
            <w:pPr>
              <w:tabs>
                <w:tab w:val="left" w:pos="381"/>
              </w:tabs>
              <w:jc w:val="center"/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按时迁移奖励</w:t>
            </w:r>
          </w:p>
          <w:p>
            <w:pPr>
              <w:tabs>
                <w:tab w:val="left" w:pos="381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5000元/座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多人墓按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1000元/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人增加补偿；2.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新城区内选择政府统一建设提供的墓地的，扣减2500元/座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11000元/座（有碑）</w:t>
            </w:r>
          </w:p>
        </w:tc>
        <w:tc>
          <w:tcPr>
            <w:tcW w:w="15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坟墓（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五年以上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元/座（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碑）</w:t>
            </w:r>
          </w:p>
        </w:tc>
        <w:tc>
          <w:tcPr>
            <w:tcW w:w="1532" w:type="dxa"/>
            <w:vMerge w:val="restart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按时迁移奖励2000元/座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000元/座（有碑）</w:t>
            </w:r>
          </w:p>
        </w:tc>
        <w:tc>
          <w:tcPr>
            <w:tcW w:w="1532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锌水管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  径20（毫米）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12元/米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  径25（毫米）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15元/米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  径40（毫米）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25元/米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  径50（毫米）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30元/米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  径65（毫米）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45元/米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塑料水管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外  径5（厘米）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5元/米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外  径7（厘米）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7元/米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外  径12（厘米）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12元/米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外  径18-20（厘米）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20元/米</w:t>
            </w:r>
          </w:p>
        </w:tc>
        <w:tc>
          <w:tcPr>
            <w:tcW w:w="24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胶水管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视管径大小和材质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5-10元/米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道  路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  泥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ind w:left="470" w:hanging="411" w:hangingChars="19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晒  场（地坪）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三合土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混凝土地坪（5厘米以下）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混凝土地坪（6-7厘米厚）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混凝土地坪（8厘米以上）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60元/平方米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室外砖砌厕所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无  盖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瓦  盖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150元/平方米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砼  盖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180元/平方米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left="254" w:leftChars="121"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私人院落门楼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简易门楼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300元/座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砖砌瓦盖门楼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800元/座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砖砌砼盖门楼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1000元/座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ind w:left="254" w:leftChars="121"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砖石化粪池</w:t>
            </w:r>
          </w:p>
        </w:tc>
        <w:tc>
          <w:tcPr>
            <w:tcW w:w="47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250元/立方米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ind w:left="254" w:leftChars="121"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土粪池</w:t>
            </w:r>
          </w:p>
        </w:tc>
        <w:tc>
          <w:tcPr>
            <w:tcW w:w="47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50元/立方米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left="254" w:leftChars="121"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围  墙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一八墙红砖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60元/平方米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二四墙红砖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片  石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90元/平方米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水泥砖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泥砖泥墙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半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left="25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葡萄棚架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水泥柱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2500元/亩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"/>
                <w:sz w:val="21"/>
                <w:szCs w:val="21"/>
                <w:highlight w:val="none"/>
              </w:rPr>
              <w:t>零星20元/根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铁线架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1200元/亩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ind w:left="25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独立水表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迁移安装费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300元/户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独立电表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迁移安装费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250元/户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340" w:lineRule="exact"/>
              <w:ind w:left="25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固定电话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spacing w:line="3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迁移安装费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100元/部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340" w:lineRule="exact"/>
              <w:ind w:left="25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闭路电视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spacing w:line="3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迁移安装费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100元/户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340" w:lineRule="exact"/>
              <w:ind w:left="3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空调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spacing w:line="3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迁移安装费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300元/台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340" w:lineRule="exact"/>
              <w:ind w:left="37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宽带网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spacing w:line="340" w:lineRule="exact"/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迁移安装费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100元/户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left="25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喷淋软管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 寸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 寸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left="255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喷淋软管接头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 寸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5元/个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 寸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7元/个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工棚（竹、木、石柱等）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80元/平方米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水池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20立方米以内（含20立方米）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250元/立方米</w:t>
            </w:r>
          </w:p>
        </w:tc>
        <w:tc>
          <w:tcPr>
            <w:tcW w:w="2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20立方米以上按相关地上附着物认定进行补偿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蔬菜遮阳棚迁移费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砖窑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500元/立方米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铁线网篱笆迁移费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916" w:type="dxa"/>
            <w:vMerge w:val="restart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水泥排水管</w:t>
            </w:r>
          </w:p>
          <w:p>
            <w:pPr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内径20（厘米）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25元/米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内径30（厘米）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35元/米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内径40（厘米）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45元/米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内径50（厘米）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150元/米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内径60（厘米）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180元/米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内径80（厘米）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240元/米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内径100（厘米）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295元/米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内径120（厘米）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350元/米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内径150（厘米）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450元/米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米石外墙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太阳能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500元/套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空气能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500元/套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街砖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60元/平方米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柴火灶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250元/立方米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不锈钢水塔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300元/个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大木门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按1.8㎡拆为一樘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750元/樘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7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管线标识桩</w:t>
            </w:r>
          </w:p>
        </w:tc>
        <w:tc>
          <w:tcPr>
            <w:tcW w:w="316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元/个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b/>
          <w:color w:val="auto"/>
          <w:sz w:val="36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附件7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</w:rPr>
        <w:t xml:space="preserve"> </w:t>
      </w:r>
      <w:r>
        <w:rPr>
          <w:b/>
          <w:color w:val="auto"/>
          <w:sz w:val="36"/>
          <w:szCs w:val="44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eastAsia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eastAsia="方正小标宋简体"/>
          <w:b w:val="0"/>
          <w:bCs/>
          <w:color w:val="auto"/>
          <w:sz w:val="44"/>
          <w:szCs w:val="44"/>
          <w:highlight w:val="none"/>
        </w:rPr>
        <w:t>房屋装修、装饰补偿</w:t>
      </w:r>
      <w:r>
        <w:rPr>
          <w:rFonts w:hint="eastAsia" w:eastAsia="方正小标宋简体"/>
          <w:b w:val="0"/>
          <w:bCs/>
          <w:color w:val="auto"/>
          <w:sz w:val="44"/>
          <w:szCs w:val="44"/>
          <w:highlight w:val="none"/>
        </w:rPr>
        <w:t>（迁移）</w:t>
      </w:r>
      <w:r>
        <w:rPr>
          <w:rFonts w:eastAsia="方正小标宋简体"/>
          <w:b w:val="0"/>
          <w:bCs/>
          <w:color w:val="auto"/>
          <w:sz w:val="44"/>
          <w:szCs w:val="44"/>
          <w:highlight w:val="none"/>
        </w:rPr>
        <w:t>标准表</w:t>
      </w:r>
    </w:p>
    <w:tbl>
      <w:tblPr>
        <w:tblStyle w:val="6"/>
        <w:tblW w:w="948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155"/>
        <w:gridCol w:w="630"/>
        <w:gridCol w:w="1698"/>
        <w:gridCol w:w="747"/>
        <w:gridCol w:w="510"/>
        <w:gridCol w:w="1875"/>
        <w:gridCol w:w="810"/>
        <w:gridCol w:w="154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规格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价格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内容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规格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价格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实木地板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220-250元/平方米</w:t>
            </w:r>
          </w:p>
        </w:tc>
        <w:tc>
          <w:tcPr>
            <w:tcW w:w="74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门窗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27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普通铁门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1.8㎡拆为一扇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200元/扇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170-220元/平方米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150-170元/平方米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铝合金窗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150元/平方米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地砖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100-120元/平方米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29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塑钢窗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120元/平方米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80-100元/平方米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60-80元/平方米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隐形防盗网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花岗岩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150-180元/平方米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31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不锈钢防盗网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110-150元/平方米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90-110元/平方米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包门包窗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复合木地板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100-120元/平方米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33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塑钢、铝合金纱窗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80-100元/平方米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60-80元/平方米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铁制防盗网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竹地板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60-80元/平方米</w:t>
            </w:r>
          </w:p>
        </w:tc>
        <w:tc>
          <w:tcPr>
            <w:tcW w:w="74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厨卫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整体浴室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3000元/套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马赛克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浴缸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水磨石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37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橱柜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玻璃装饰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180-200元/平方米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博古架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120-150元/平方米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油烟柜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木墙裙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80-100元/平方米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39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坐便器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70-80元/平方米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750元/个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50-70元/平方米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墙纸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60元/平方米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洗手盆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400元/个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文化石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80-90元/平方米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蹲便器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木板隔墙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70-90元/平方米</w:t>
            </w:r>
          </w:p>
        </w:tc>
        <w:tc>
          <w:tcPr>
            <w:tcW w:w="74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其他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固定柜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墙砖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铝雨棚/钢化玻璃雨棚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涂料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实木扶手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200元/米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腻子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不锈钢扶手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150元/米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17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木吊顶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80-100元/平方米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铁制扶手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18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铝扣板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普通广告牌、灯箱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70-90元/平方米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19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石膏、艾特板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吊顶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70元/平方米</w:t>
            </w:r>
          </w:p>
        </w:tc>
        <w:tc>
          <w:tcPr>
            <w:tcW w:w="747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塑料雨棚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塑扣板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50元/平方米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49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水电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（含其他暗埋管线）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80元/平方米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（按建筑面积）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21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木线边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30元/米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排气扇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石膏边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10元/米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简易木门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200元/个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23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防盗门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1000元/樘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简易木窗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100元/樘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exac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实木门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高档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1000元/樘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琉璃瓦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73元/平方米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中档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750元/樘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罗马柱（28厘米以下）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180元/米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普通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500元/樘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ind w:firstLine="18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室内固定养殖普通玻璃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5毫米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25元/平方米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exac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25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塑钢门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350元/樘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木阁楼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80元/平方米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/>
              </w:rPr>
              <w:t>26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拉闸门、</w:t>
            </w:r>
          </w:p>
          <w:p>
            <w:pPr>
              <w:widowControl/>
              <w:spacing w:line="240" w:lineRule="exact"/>
              <w:ind w:firstLine="18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卷帘门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120元/平方米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57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管道煤气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</w:rPr>
              <w:t>2700元/户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eastAsia="zh-CN"/>
        </w:rPr>
        <w:t>公开方式</w:t>
      </w:r>
      <w:r>
        <w:rPr>
          <w:rFonts w:eastAsia="黑体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主动公开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rPr>
          <w:rFonts w:hint="eastAsia"/>
          <w:sz w:val="2"/>
          <w:szCs w:val="2"/>
        </w:rPr>
      </w:pPr>
      <w:r>
        <w:rPr>
          <w:rFonts w:hint="eastAsia" w:ascii="仿宋_GB2312" w:hAnsi="仿宋_GB2312" w:eastAsia="仿宋_GB2312" w:cs="仿宋_GB2312"/>
          <w:color w:val="FFFFFF"/>
          <w:sz w:val="32"/>
          <w:szCs w:val="32"/>
          <w:lang w:eastAsia="zh-CN"/>
        </w:rPr>
        <w:t>（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N2HNtgAAAAK&#10;AQAADwAAAAAAAAABACAAAAAiAAAAZHJzL2Rvd25yZXYueG1sUEsBAhQAFAAAAAgAh07iQBsrhLgc&#10;AgAAEwQAAA4AAAAAAAAAAQAgAAAAJw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OGUwYmU0NjZiNGNhMjZhODY1Mjc5YTM3NDk0MGUifQ=="/>
  </w:docVars>
  <w:rsids>
    <w:rsidRoot w:val="6C37506A"/>
    <w:rsid w:val="015974C0"/>
    <w:rsid w:val="01D70567"/>
    <w:rsid w:val="035633BB"/>
    <w:rsid w:val="048375D2"/>
    <w:rsid w:val="056544E9"/>
    <w:rsid w:val="05D23A9F"/>
    <w:rsid w:val="0AE80504"/>
    <w:rsid w:val="0BDC31C7"/>
    <w:rsid w:val="0D5E21AB"/>
    <w:rsid w:val="118856A7"/>
    <w:rsid w:val="15772894"/>
    <w:rsid w:val="17F11A20"/>
    <w:rsid w:val="1ADD0B83"/>
    <w:rsid w:val="1B1643A2"/>
    <w:rsid w:val="1B6846A5"/>
    <w:rsid w:val="1C0D0D65"/>
    <w:rsid w:val="1F22159A"/>
    <w:rsid w:val="21402E17"/>
    <w:rsid w:val="216E1949"/>
    <w:rsid w:val="21871008"/>
    <w:rsid w:val="252247FE"/>
    <w:rsid w:val="25260C55"/>
    <w:rsid w:val="27194E78"/>
    <w:rsid w:val="29B63761"/>
    <w:rsid w:val="29BB232B"/>
    <w:rsid w:val="29F07975"/>
    <w:rsid w:val="2BB573BC"/>
    <w:rsid w:val="2E7B25D9"/>
    <w:rsid w:val="2ED25E27"/>
    <w:rsid w:val="2F792DBE"/>
    <w:rsid w:val="2FDC3D3E"/>
    <w:rsid w:val="3171536C"/>
    <w:rsid w:val="31B97172"/>
    <w:rsid w:val="33263997"/>
    <w:rsid w:val="332F1CCE"/>
    <w:rsid w:val="33FD62E4"/>
    <w:rsid w:val="34E10DCE"/>
    <w:rsid w:val="3520199F"/>
    <w:rsid w:val="36E72988"/>
    <w:rsid w:val="3B8553E4"/>
    <w:rsid w:val="3CC76D19"/>
    <w:rsid w:val="40DB64A8"/>
    <w:rsid w:val="412169AB"/>
    <w:rsid w:val="413F0790"/>
    <w:rsid w:val="419B6B05"/>
    <w:rsid w:val="41A3713A"/>
    <w:rsid w:val="440B764A"/>
    <w:rsid w:val="4B212E08"/>
    <w:rsid w:val="4D294662"/>
    <w:rsid w:val="4D721111"/>
    <w:rsid w:val="4E931AEA"/>
    <w:rsid w:val="4FB05350"/>
    <w:rsid w:val="5413422C"/>
    <w:rsid w:val="55634793"/>
    <w:rsid w:val="55F04E72"/>
    <w:rsid w:val="57403117"/>
    <w:rsid w:val="580F23FC"/>
    <w:rsid w:val="5939268C"/>
    <w:rsid w:val="5AE85AFD"/>
    <w:rsid w:val="5AEF229F"/>
    <w:rsid w:val="5B642309"/>
    <w:rsid w:val="5B9BFD94"/>
    <w:rsid w:val="5CDC79F3"/>
    <w:rsid w:val="5E7A1F50"/>
    <w:rsid w:val="5EB990BD"/>
    <w:rsid w:val="5F882D21"/>
    <w:rsid w:val="5FBF7663"/>
    <w:rsid w:val="6028345A"/>
    <w:rsid w:val="616232F2"/>
    <w:rsid w:val="617C5EC1"/>
    <w:rsid w:val="63460B71"/>
    <w:rsid w:val="63882639"/>
    <w:rsid w:val="63A24412"/>
    <w:rsid w:val="65CF7EC6"/>
    <w:rsid w:val="66A13C5A"/>
    <w:rsid w:val="679A2098"/>
    <w:rsid w:val="67B81AFF"/>
    <w:rsid w:val="6B0C6CED"/>
    <w:rsid w:val="6C355535"/>
    <w:rsid w:val="6C37506A"/>
    <w:rsid w:val="6C375151"/>
    <w:rsid w:val="6C6677E4"/>
    <w:rsid w:val="6C7E20CD"/>
    <w:rsid w:val="6C9F2AE9"/>
    <w:rsid w:val="6D1301DD"/>
    <w:rsid w:val="6E006DDF"/>
    <w:rsid w:val="6F1F1BA3"/>
    <w:rsid w:val="6FDB05E5"/>
    <w:rsid w:val="71921344"/>
    <w:rsid w:val="74D71813"/>
    <w:rsid w:val="782A0E50"/>
    <w:rsid w:val="795124C5"/>
    <w:rsid w:val="79AC5C5C"/>
    <w:rsid w:val="7D185A54"/>
    <w:rsid w:val="7DAD4EB9"/>
    <w:rsid w:val="7E154BC6"/>
    <w:rsid w:val="7EB93618"/>
    <w:rsid w:val="7F3852F1"/>
    <w:rsid w:val="B6DAB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rFonts w:hint="eastAsia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Char"/>
    <w:basedOn w:val="1"/>
    <w:link w:val="7"/>
    <w:qFormat/>
    <w:uiPriority w:val="0"/>
    <w:rPr>
      <w:rFonts w:hint="eastAsia"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5899</Words>
  <Characters>6914</Characters>
  <Lines>0</Lines>
  <Paragraphs>0</Paragraphs>
  <TotalTime>0</TotalTime>
  <ScaleCrop>false</ScaleCrop>
  <LinksUpToDate>false</LinksUpToDate>
  <CharactersWithSpaces>7223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2019-05-13T15:22:00Z</dcterms:created>
  <dc:creator>王亚飞</dc:creator>
  <cp:lastModifiedBy>区信息中心</cp:lastModifiedBy>
  <cp:lastPrinted>2023-05-22T14:53:00Z</cp:lastPrinted>
  <dcterms:modified xsi:type="dcterms:W3CDTF">2023-09-01T02:16:30Z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D55817C128804000817D6B835E8A4A88_13</vt:lpwstr>
  </property>
</Properties>
</file>