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柳州市柳江区总工会2021年政府信息公开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工作年度报告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主动公开信息情况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2021年，我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严格按照《中华人民共和国政府信息公开条例》要求，通过政府信息公开目录主动公开政府信息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条，其中，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规范性文件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1条，其他信息类1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条。</w:t>
      </w:r>
    </w:p>
    <w:p>
      <w:pPr>
        <w:numPr>
          <w:ilvl w:val="0"/>
          <w:numId w:val="1"/>
        </w:num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依申请公开信息办理情况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我单位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共收到依申请公开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信息</w:t>
      </w:r>
      <w:r>
        <w:rPr>
          <w:rFonts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件，回复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件。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政府信息管理</w:t>
      </w:r>
    </w:p>
    <w:p>
      <w:pPr>
        <w:numPr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按照《中华人民共和国政府信息公开条例》要求，强化信息公开工作制度建设，编制了我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单位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政府信息公开目录，完善了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政务公开标准目录。加强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柳江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公众信息网栏目管理，及时更新网站内容，主动公开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工会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信息。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政府信息公开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平台建设</w:t>
      </w:r>
    </w:p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单位进一步完善政府信息公开载体的建设，共设立了机构概况、人事信息、工作动态、法律法规、规范性文件、财政信息、应急管理、政府信息公开指南和目录、政府信息公开工作年度报告等16个栏目。根据政府信息公开工作的新形势和新要求，加大主动公开力度、加快信息化建设和应用，做到内容丰富，更新及时，各载体运行良好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bookmarkStart w:id="0" w:name="_GoBack"/>
      <w:r>
        <w:rPr>
          <w:rFonts w:hint="eastAsia" w:ascii="楷体_GB2312" w:hAnsi="楷体_GB2312" w:eastAsia="楷体_GB2312" w:cs="楷体_GB2312"/>
          <w:sz w:val="32"/>
          <w:szCs w:val="32"/>
        </w:rPr>
        <w:t>政府信息公开监督保障情况</w:t>
      </w:r>
    </w:p>
    <w:bookmarkEnd w:id="0"/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明确责任，分管政府信息公开工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作的领导人员是第一责任人，政府信息公开工作机构是法定责任主体，负责推进协调政府信息公开平台建设和管理工作。建立信息发布审核机制，严格把关发布内容。及时发布政务信息，尤其是与社会公众关系密切的政策信息、服务信息。重大信息发布经单位主要负责任人或分管负责人签批同意，避免出现不当言论。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同时，完善常态化督导体系，建立政务公开制度，实行责任落实与督促检查，切实加强对政府信息公开工作的监督和保障。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left"/>
        <w:rPr>
          <w:rFonts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本总工会虽然在信息公开工作方面做了大量工作，还存在一些不足。一是负责此项工作的人员经验不足、业务技能还有待于进一步提高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;二是公开的内容还不够齐全，信息更新还需要更及时；三是公开形式的便民性需要进一步提高。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下一步，总工会将按照《条例》、《办法》的规定和区政府信息公开领导小组的要求，做好以下几项工作：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1．加强学习和培训力度，有针对性地举办学习培训活动，组织人员学习借鉴政府其他部门的好做法，进一步提高政府信息公开工作水平。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2.不断完善政府信息公开的内容，及时更新政府信息，主动及时向社会公开可以公开的信息，以确保政府信息公开的完整性、全面性和及时性。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3.不断拓展信息公开途径，丰富公开形式，特别是进一步简化信息公开流程，拓宽公开渠道，确保操作简便明了，利于查找。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4.完善政府信息公开监督、评议制度，将评议监督工作常规化、日常化；并主动听取社会各界对我会政府信息公开的意见和建议，充分发挥人民群众和舆论的监督作用，不断自查和整改，努力把我会政府信息公开工作做得更好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 w:val="0"/>
        <w:spacing w:beforeAutospacing="0" w:afterAutospacing="0" w:line="600" w:lineRule="exact"/>
        <w:ind w:left="0" w:firstLine="42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我单位2021年未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收取信息处理费。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lang w:val="en-US" w:eastAsia="zh-CN"/>
        </w:rPr>
        <w:t xml:space="preserve">                             柳州市柳江区总工会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lang w:val="en-US" w:eastAsia="zh-CN"/>
        </w:rPr>
        <w:t xml:space="preserve">                              2022年1月18日</w:t>
      </w:r>
    </w:p>
    <w:p>
      <w:pPr>
        <w:pStyle w:val="3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984" w:right="136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DF6F6"/>
    <w:multiLevelType w:val="singleLevel"/>
    <w:tmpl w:val="399DF6F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54604"/>
    <w:rsid w:val="05AB384E"/>
    <w:rsid w:val="35407379"/>
    <w:rsid w:val="44A129E8"/>
    <w:rsid w:val="67754604"/>
    <w:rsid w:val="6D7A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2022-01-18T07:44:00Z</dcterms:created>
  <dc:creator>熊熊</dc:creator>
  <cp:lastModifiedBy>熊熊</cp:lastModifiedBy>
  <dcterms:modified xsi:type="dcterms:W3CDTF">2022-01-20T09:49:18Z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